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274A3" w14:textId="2D313C4E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9645D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МИНИСТЕРСТВО ОБРАЗОВАНИЯ И НАУКИ РФ</w:t>
      </w:r>
    </w:p>
    <w:p w14:paraId="2130DEC5" w14:textId="21528FC5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9645D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ФГБОУ ВПО «УДМУРТСКИЙ ГОСУДАРСТВЕННЫЙ УНИВЕРСИТЕТ»</w:t>
      </w:r>
    </w:p>
    <w:p w14:paraId="75771394" w14:textId="3E97A949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39645D7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ИНСТИТУТ ПРАВА, СОЦИАЛЬНОГО УПРАВЛЕНИЯ И БЕЗОПАСНОСТИ</w:t>
      </w:r>
    </w:p>
    <w:p w14:paraId="49A0E5EB" w14:textId="342FEEF8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E34C3F5" w14:textId="3ABA00DD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234FD6D" w14:textId="01B0C062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5128731" w14:textId="26A7EE00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BC53D43" w14:textId="5F6F60D9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7E860F8" w14:textId="35CFF59E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DE452B8" w14:textId="74F96144" w:rsidR="39645D77" w:rsidRDefault="39645D77" w:rsidP="39645D77"/>
    <w:p w14:paraId="6628EDEA" w14:textId="39B611B3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39645D7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Курсовая работа на тему</w:t>
      </w:r>
    </w:p>
    <w:p w14:paraId="4ECDCB02" w14:textId="3A506591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9645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bookmarkStart w:id="0" w:name="_GoBack"/>
      <w:r w:rsidRPr="39645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Правовая охрана окружающей среды, обеспечение экологической безопасности человека в городах</w:t>
      </w:r>
      <w:bookmarkEnd w:id="0"/>
      <w:r w:rsidRPr="39645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иных поселениях»</w:t>
      </w:r>
    </w:p>
    <w:p w14:paraId="1BE8CE3D" w14:textId="250F0D90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308757" w14:textId="32F23328" w:rsidR="39645D77" w:rsidRDefault="39645D77" w:rsidP="7E8A74D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8CA786" w14:textId="5A6A9330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D2B3F3" w14:textId="085D3615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5C7500" w14:textId="73935F9E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05CF0B" w14:textId="1238DFEB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9607B3" w14:textId="6C60A31B" w:rsidR="39645D77" w:rsidRDefault="7E8A74D9" w:rsidP="39645D77">
      <w:pPr>
        <w:jc w:val="right"/>
      </w:pPr>
      <w:r w:rsidRPr="7E8A74D9">
        <w:rPr>
          <w:rFonts w:ascii="Times New Roman" w:eastAsia="Times New Roman" w:hAnsi="Times New Roman" w:cs="Times New Roman"/>
          <w:color w:val="000000" w:themeColor="text1"/>
        </w:rPr>
        <w:t xml:space="preserve">Выполнил: </w:t>
      </w:r>
    </w:p>
    <w:p w14:paraId="5B0BCE78" w14:textId="78456033" w:rsidR="39645D77" w:rsidRDefault="7E8A74D9" w:rsidP="39645D77">
      <w:pPr>
        <w:jc w:val="right"/>
      </w:pPr>
      <w:r w:rsidRPr="7E8A74D9">
        <w:rPr>
          <w:rFonts w:ascii="Times New Roman" w:eastAsia="Times New Roman" w:hAnsi="Times New Roman" w:cs="Times New Roman"/>
          <w:color w:val="000000" w:themeColor="text1"/>
        </w:rPr>
        <w:t>студент II курса группа ОАБ-40.03.01-22</w:t>
      </w:r>
    </w:p>
    <w:p w14:paraId="2ED0CD86" w14:textId="43FC1705" w:rsidR="39645D77" w:rsidRDefault="39645D77" w:rsidP="39645D77">
      <w:pPr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39645D77">
        <w:rPr>
          <w:rFonts w:ascii="Times New Roman" w:eastAsia="Times New Roman" w:hAnsi="Times New Roman" w:cs="Times New Roman"/>
          <w:color w:val="000000" w:themeColor="text1"/>
        </w:rPr>
        <w:t>Рыжих</w:t>
      </w:r>
      <w:proofErr w:type="gramEnd"/>
      <w:r w:rsidRPr="39645D77">
        <w:rPr>
          <w:rFonts w:ascii="Times New Roman" w:eastAsia="Times New Roman" w:hAnsi="Times New Roman" w:cs="Times New Roman"/>
          <w:color w:val="000000" w:themeColor="text1"/>
        </w:rPr>
        <w:t xml:space="preserve"> Екатерина Егоровна</w:t>
      </w:r>
    </w:p>
    <w:p w14:paraId="1A50F853" w14:textId="1A8043E1" w:rsidR="39645D77" w:rsidRDefault="39645D77" w:rsidP="39645D77">
      <w:pPr>
        <w:jc w:val="right"/>
      </w:pPr>
      <w:r w:rsidRPr="39645D77">
        <w:rPr>
          <w:rFonts w:ascii="Times New Roman" w:eastAsia="Times New Roman" w:hAnsi="Times New Roman" w:cs="Times New Roman"/>
          <w:color w:val="000000" w:themeColor="text1"/>
        </w:rPr>
        <w:t>Научный руководитель:</w:t>
      </w:r>
    </w:p>
    <w:p w14:paraId="71675B18" w14:textId="107460DD" w:rsidR="39645D77" w:rsidRDefault="39645D77" w:rsidP="39645D77">
      <w:pPr>
        <w:jc w:val="right"/>
      </w:pPr>
      <w:r w:rsidRPr="39645D77">
        <w:rPr>
          <w:rFonts w:ascii="Times New Roman" w:eastAsia="Times New Roman" w:hAnsi="Times New Roman" w:cs="Times New Roman"/>
          <w:color w:val="000000" w:themeColor="text1"/>
        </w:rPr>
        <w:t>Белокрылова Екатерина Александровна</w:t>
      </w:r>
    </w:p>
    <w:p w14:paraId="02EDEBF6" w14:textId="145F7D46" w:rsidR="39645D77" w:rsidRDefault="7E8A74D9" w:rsidP="39645D77">
      <w:pPr>
        <w:jc w:val="right"/>
      </w:pPr>
      <w:r w:rsidRPr="7E8A74D9">
        <w:rPr>
          <w:rFonts w:ascii="Times New Roman" w:eastAsia="Times New Roman" w:hAnsi="Times New Roman" w:cs="Times New Roman"/>
          <w:color w:val="000000" w:themeColor="text1"/>
        </w:rPr>
        <w:t xml:space="preserve">Заведующая кафедрой </w:t>
      </w:r>
      <w:proofErr w:type="gramStart"/>
      <w:r w:rsidRPr="7E8A74D9">
        <w:rPr>
          <w:rFonts w:ascii="Times New Roman" w:eastAsia="Times New Roman" w:hAnsi="Times New Roman" w:cs="Times New Roman"/>
          <w:color w:val="000000" w:themeColor="text1"/>
        </w:rPr>
        <w:t>экологического</w:t>
      </w:r>
      <w:proofErr w:type="gramEnd"/>
      <w:r w:rsidRPr="7E8A74D9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7587D750" w14:textId="346A1391" w:rsidR="39645D77" w:rsidRDefault="7E8A74D9" w:rsidP="39645D77">
      <w:pPr>
        <w:jc w:val="right"/>
      </w:pPr>
      <w:r w:rsidRPr="7E8A74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7E8A74D9">
        <w:rPr>
          <w:rFonts w:ascii="Times New Roman" w:eastAsia="Times New Roman" w:hAnsi="Times New Roman" w:cs="Times New Roman"/>
          <w:color w:val="000000" w:themeColor="text1"/>
        </w:rPr>
        <w:t>природоресурсного</w:t>
      </w:r>
      <w:proofErr w:type="spellEnd"/>
      <w:r w:rsidRPr="7E8A74D9">
        <w:rPr>
          <w:rFonts w:ascii="Times New Roman" w:eastAsia="Times New Roman" w:hAnsi="Times New Roman" w:cs="Times New Roman"/>
          <w:color w:val="000000" w:themeColor="text1"/>
        </w:rPr>
        <w:t xml:space="preserve"> и трудового права</w:t>
      </w:r>
    </w:p>
    <w:p w14:paraId="75CAA367" w14:textId="25BC016F" w:rsidR="39645D77" w:rsidRDefault="39645D77" w:rsidP="39645D77">
      <w:pPr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567518B2" w14:textId="03C69568" w:rsidR="39645D77" w:rsidRDefault="39645D77" w:rsidP="39645D77">
      <w:pPr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419924EA" w14:textId="0E1E8380" w:rsidR="39645D77" w:rsidRDefault="39645D77" w:rsidP="39645D77">
      <w:pPr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2720EDF8" w14:textId="2855EE3C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2732399" w14:textId="449E991E" w:rsidR="39645D77" w:rsidRDefault="39645D77" w:rsidP="39645D77">
      <w:pPr>
        <w:jc w:val="center"/>
      </w:pPr>
      <w:r w:rsidRPr="39645D77">
        <w:rPr>
          <w:rFonts w:ascii="Times New Roman" w:eastAsia="Times New Roman" w:hAnsi="Times New Roman" w:cs="Times New Roman"/>
          <w:color w:val="000000" w:themeColor="text1"/>
        </w:rPr>
        <w:t>Ижевск, 2020г.</w:t>
      </w:r>
    </w:p>
    <w:p w14:paraId="0F1909BC" w14:textId="71E341B0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AFE409A" w14:textId="1FCE91D6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05B89F2" w14:textId="0F9C9929" w:rsidR="39645D77" w:rsidRDefault="39645D77" w:rsidP="39645D77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84C24EE" w14:textId="3A0DD7A3" w:rsidR="39645D77" w:rsidRDefault="39645D77" w:rsidP="7E8A74D9">
      <w:pPr>
        <w:jc w:val="center"/>
        <w:rPr>
          <w:rFonts w:eastAsiaTheme="minorEastAsia"/>
          <w:color w:val="000000" w:themeColor="text1"/>
          <w:sz w:val="32"/>
          <w:szCs w:val="32"/>
        </w:rPr>
      </w:pPr>
    </w:p>
    <w:p w14:paraId="27EC534B" w14:textId="522660FB" w:rsidR="7E8A74D9" w:rsidRDefault="7E8A74D9" w:rsidP="7E8A74D9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Оглавление: </w:t>
      </w:r>
    </w:p>
    <w:p w14:paraId="13DCCD6B" w14:textId="25E4F1AD" w:rsidR="7E8A74D9" w:rsidRDefault="7E8A74D9" w:rsidP="7E8A74D9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3AABC239" w14:textId="750E4CE7" w:rsidR="7E8A74D9" w:rsidRDefault="7E8A74D9" w:rsidP="7E8A74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</w:t>
      </w:r>
    </w:p>
    <w:p w14:paraId="657E6DAA" w14:textId="35CB8506" w:rsidR="7E8A74D9" w:rsidRDefault="7E8A74D9" w:rsidP="7E8A74D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охраны окружающей среды</w:t>
      </w:r>
    </w:p>
    <w:p w14:paraId="2BDF003E" w14:textId="5EE35929" w:rsidR="7E8A74D9" w:rsidRDefault="7E8A74D9" w:rsidP="7E8A74D9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Планировка и застройка территории с учетом экологических требований</w:t>
      </w:r>
    </w:p>
    <w:p w14:paraId="25E360ED" w14:textId="09C9E857" w:rsidR="7E8A74D9" w:rsidRDefault="7E8A74D9" w:rsidP="7E8A74D9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санитарного режима городов</w:t>
      </w:r>
    </w:p>
    <w:p w14:paraId="4EF35310" w14:textId="2D368B6B" w:rsidR="7E8A74D9" w:rsidRDefault="7E8A74D9" w:rsidP="7E8A74D9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Охрана растительности </w:t>
      </w:r>
      <w:proofErr w:type="gramStart"/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городских и сельских поселений</w:t>
      </w:r>
    </w:p>
    <w:p w14:paraId="3D15021E" w14:textId="49E44D02" w:rsidR="7E8A74D9" w:rsidRDefault="7E8A74D9" w:rsidP="7E8A74D9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Практическая часть</w:t>
      </w:r>
    </w:p>
    <w:p w14:paraId="1611B0EA" w14:textId="135F3C14" w:rsidR="7E8A74D9" w:rsidRDefault="7E8A74D9" w:rsidP="7E8A74D9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Список использованной литературы </w:t>
      </w:r>
    </w:p>
    <w:p w14:paraId="28F2C52A" w14:textId="0CA55F9B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4294E2" w14:textId="3C5AA661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568256" w14:textId="2A8BC694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3D1256" w14:textId="49FE1552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ED3CFF" w14:textId="155EDC9C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DA1E6B" w14:textId="40841EB8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678017" w14:textId="0E91DD99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84F694" w14:textId="046D3654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550C66" w14:textId="2DDEC4D1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87B976" w14:textId="6210E2EE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81BE6E" w14:textId="11755ECF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95DCC2" w14:textId="3DB105D6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DA3784" w14:textId="55B47B11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6C5CAE" w14:textId="3DED1041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ED393F" w14:textId="06F485D6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FCD410" w14:textId="25D9F02F" w:rsidR="7E8A74D9" w:rsidRDefault="7E8A74D9" w:rsidP="3803F7C7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6965E8" w14:textId="1DEFB5A5" w:rsidR="7E8A74D9" w:rsidRDefault="7E8A74D9" w:rsidP="7E8A74D9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192D84" w14:textId="5D98476F" w:rsidR="7E8A74D9" w:rsidRDefault="7E8A74D9" w:rsidP="7E8A74D9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E8A74D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Введение</w:t>
      </w:r>
    </w:p>
    <w:p w14:paraId="3CDCF243" w14:textId="0571B657" w:rsidR="7E8A74D9" w:rsidRDefault="7E8A74D9" w:rsidP="7E8A74D9">
      <w:pPr>
        <w:rPr>
          <w:rFonts w:ascii="Times New Roman" w:eastAsia="Times New Roman" w:hAnsi="Times New Roman" w:cs="Times New Roman"/>
        </w:rPr>
      </w:pPr>
    </w:p>
    <w:p w14:paraId="35E31744" w14:textId="2D289C51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803F7C7">
        <w:rPr>
          <w:rFonts w:ascii="Times New Roman" w:eastAsia="Times New Roman" w:hAnsi="Times New Roman" w:cs="Times New Roman"/>
        </w:rPr>
        <w:t xml:space="preserve">Окружающая среда находится вокруг вас, и то, как оно влияет на ваше развитие. Говоря научным языком, </w:t>
      </w:r>
      <w:proofErr w:type="gramStart"/>
      <w:r w:rsidRPr="3803F7C7">
        <w:rPr>
          <w:rFonts w:ascii="Times New Roman" w:eastAsia="Times New Roman" w:hAnsi="Times New Roman" w:cs="Times New Roman"/>
        </w:rPr>
        <w:t>окружающая</w:t>
      </w:r>
      <w:proofErr w:type="gramEnd"/>
      <w:r w:rsidRPr="3803F7C7">
        <w:rPr>
          <w:rFonts w:ascii="Times New Roman" w:eastAsia="Times New Roman" w:hAnsi="Times New Roman" w:cs="Times New Roman"/>
        </w:rPr>
        <w:t xml:space="preserve"> это комплекс окружающих человека или другой живой организм физических, географических, биологических, социальных, культурных и политических условий, который определяет форму и характер  его существования. Окружающая среда влияет на жизнь людей и развитие общества в целом. Вследствие этого люди, прогресс, развитие и окружающая среда тесно взаимосвязаны.</w:t>
      </w:r>
      <w:r w:rsidRPr="3803F7C7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</w:t>
      </w: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Понятием окружающей человека среды охватываются города и другие населенные пункты, промышленные, аграрные, рекреационные зоны.</w:t>
      </w:r>
      <w:r w:rsidR="7E8A74D9">
        <w:br/>
      </w: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охраны окружающей человека среды является формирование такого ее качества, которое бы обеспечивало закрепленное Конституцией РФ и российским законодательством право граждан на благоприятную для жизни и здоровья окружающую среду. Это право обеспечивается проведением комплекса мероприятий по предотвращению влияния на человека неблагоприятных факторов среды его обитания (ст. 2 Федерального закона «О санитарно-эпидемиологическом благополучии населения»).</w:t>
      </w:r>
    </w:p>
    <w:p w14:paraId="0BCF0331" w14:textId="6388310C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>Актуальность данной темы определяется, прежде всего, тем значением, которое приобретает обеспечение экологической безопасности на нынешнем этапе развития человеческого общества.</w:t>
      </w:r>
    </w:p>
    <w:p w14:paraId="27363423" w14:textId="61BF7801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>Если человечество не изменит своего отношения к обеспечению экологической безопасности, то через два-три поколения его гибель, как считают ведущие экологи мира, неизбежна.</w:t>
      </w:r>
    </w:p>
    <w:p w14:paraId="7697EBB2" w14:textId="1D75F7FD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>Актуальность вопроса заключается и в том, что в случае пренебрежения экологической безопасностью в отдельном государстве, заложниками экологической катастрофы становятся многие государства и их население.</w:t>
      </w:r>
    </w:p>
    <w:p w14:paraId="33DBD688" w14:textId="3B54C053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имеющихся исследований 15% территории России, на которой сосредоточена основная часть населения (60%) и производства, составляют регионы с кризисной и катастрофической экологической ситуацией, что примерно составляет территорию шести Франций. До 85% населения дышит воздухом, загрязнённым значительно выше предельно допустимых концентраций. Почти каждый второй житель России использует для питья воду, не соответствующую гигиеническим требованиям. Только в результате </w:t>
      </w:r>
      <w:proofErr w:type="spellStart"/>
      <w:r w:rsidRPr="3803F7C7">
        <w:rPr>
          <w:rFonts w:ascii="Times New Roman" w:eastAsia="Times New Roman" w:hAnsi="Times New Roman" w:cs="Times New Roman"/>
          <w:sz w:val="24"/>
          <w:szCs w:val="24"/>
        </w:rPr>
        <w:t>диоксинового</w:t>
      </w:r>
      <w:proofErr w:type="spellEnd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загрязнения водоёмов России ежегодно погибает около 20 тысяч человек.</w:t>
      </w:r>
    </w:p>
    <w:p w14:paraId="39EF2089" w14:textId="02491229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>По мнению некоторых специалистов по охране окружающей среды, проблему обеспечения населения страны чистой водой мы не сможем решить раньше, чем через 20 лет. Нужны огромные затраты, причём в основное производство. Очистными сооружениями положение не исправить. Необходимо менять базовую технологию. Далее делается вывод, что по негативному воздействию на здоровье людей именно вода стоит на первом месте, на втором - воздух, на третьем - различные физические 1 воздействия и только на четвертом - радиоактивные</w:t>
      </w:r>
      <w:proofErr w:type="gramStart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7EDBD78A" w14:textId="08744233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6AA82C" w14:textId="5FC51698" w:rsidR="7E8A74D9" w:rsidRDefault="3803F7C7" w:rsidP="3803F7C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803F7C7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 окружающей среды.</w:t>
      </w:r>
    </w:p>
    <w:p w14:paraId="48BECAFD" w14:textId="12942411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525BF0" w14:textId="2EDB4C63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Оно проводится в процессе градостроительного планирования путем разработки схем, планов, мероприятий по охране окружающей среды. В частности, эти вопросы предусматриваются в соответствии со ст. 34, 35 Градостроительного кодекса РФ в территориальных комплексных схемах градостроительного планирования развития территории районов, сельских округов, а также в генеральных планах городских и сельских поселений.</w:t>
      </w:r>
    </w:p>
    <w:p w14:paraId="5FBA3401" w14:textId="5F57099B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пронизывало все сферы деятельности людей, в том числе в области охраны природы и использования природных ресурсов. В достижении целей охраны окружающей среды значительная роль принадлежала планированию обеспечения мероприятий по охране окружающей среды. Считалось, что в нашей стране планы и планирование всегда были основой для успешного решения задач </w:t>
      </w:r>
      <w:proofErr w:type="spellStart"/>
      <w:r w:rsidRPr="3803F7C7">
        <w:rPr>
          <w:rFonts w:ascii="Times New Roman" w:eastAsia="Times New Roman" w:hAnsi="Times New Roman" w:cs="Times New Roman"/>
          <w:sz w:val="24"/>
          <w:szCs w:val="24"/>
        </w:rPr>
        <w:t>природоохраны</w:t>
      </w:r>
      <w:proofErr w:type="spellEnd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и рационального использования природных ресурсов</w:t>
      </w:r>
      <w:proofErr w:type="gramStart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средством координации природоохранных мероприятий. А научно обоснованное планирование являлось неотъемлемым условием действенности и согласованности принимаемых экологически значимых решений. </w:t>
      </w:r>
    </w:p>
    <w:p w14:paraId="6D20CC1C" w14:textId="749E843B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3803F7C7">
        <w:rPr>
          <w:rFonts w:ascii="Times New Roman" w:eastAsia="Times New Roman" w:hAnsi="Times New Roman" w:cs="Times New Roman"/>
          <w:sz w:val="24"/>
          <w:szCs w:val="24"/>
        </w:rPr>
        <w:t>Бринчук</w:t>
      </w:r>
      <w:proofErr w:type="spellEnd"/>
      <w:r w:rsidRPr="3803F7C7">
        <w:rPr>
          <w:rFonts w:ascii="Times New Roman" w:eastAsia="Times New Roman" w:hAnsi="Times New Roman" w:cs="Times New Roman"/>
          <w:sz w:val="24"/>
          <w:szCs w:val="24"/>
        </w:rPr>
        <w:t> М. М., рассматривая правовую сущность экологического планирования в современных условиях, справедливо связывает его с целями и задачами экологического законодательства, кратко определяя экологическое планирование в правовом контексте «как организационно-координационную деятельность по мобилизации сил и средств по достижению целей экологического права в намечаемые сроки», а в увязке с его основными элементами как «ориентированную на перспективу систему мер и мероприятий по природопользованию</w:t>
      </w:r>
      <w:proofErr w:type="gramEnd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и охране природы, осуществление которых обеспечивается необходимыми ресурсами и направлено на решение определенных экологически значимых задач, связанных с выполнением соответствующих требований экологического законодательства». К сожалению, современное нормативное представление об экологическом планировании основано на положениях не ФЗ «Об охране окружающей среды». С принятием Федерального закона «О государственном прогнозировании и программах социально-экономического развития» от 20.07.1995 № 115-ФЗ15 уже был некий «намек» на подчинение экологического планирования социально-экономическому планированию, а после исключения его из ФЗ «Об охране окружающей среды» и вовсе стало понятно, что законодатель рассматривает ранее самостоятельные виды планирования частью социально-экономического планирования. </w:t>
      </w:r>
      <w:proofErr w:type="gramStart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Лишь спустя продолжительный период времени на смену ФЗ «О государственном прогнозировании…» пришел Федеральный закон «О стратегическом планировании в Российской Федерации» от 28.06.2014 № 172-ФЗ16, согласно ст. 3 которого стратегическое планирование представляет собой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РФ и муниципальных образований, отраслей экономики и сфер государственного и муниципального управления, </w:t>
      </w:r>
      <w:r w:rsidRPr="3803F7C7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обеспечения национальной</w:t>
      </w:r>
      <w:proofErr w:type="gramEnd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Российской Федерации, направленную на решение задач устойчивого социально-экономического развития Российской Федерации, субъектов РФ и муниципальных образований и обеспечение национальной безопасности Российской Федерации.  </w:t>
      </w:r>
    </w:p>
    <w:p w14:paraId="0AB2B9FA" w14:textId="3145FF02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указанный закон стал регулировать все формы стратегического планирования на федеральном, региональном и муниципальном уровнях в различных отраслях экономики, сферах государственного и муниципального управления и обеспечения национальной безопасности на определенные периоды (сроки). При этом развитие законодательства о стратегическом планировании концептуально стало осуществляться по двум направлениям: первое — социально-экономическое, второе — национальная безопасность и основываться, как следует из ч. 5 ст. 18 ФЗ «О стратегическом планировании…», на принципе взаимосвязи и взаимозависимости. Законодатель допускает (ст. 1 ФЗ «О стратегическом планировании…»), что особенности стратегического планирования в сферах обеспечения национальной обороны, государственной и общественной безопасности могут быть предусмотрены законодательством о них. Относится ли к ним экологическое планирование? </w:t>
      </w:r>
    </w:p>
    <w:p w14:paraId="47890642" w14:textId="4D24C3CA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ФЗ «О стратегическом планировании…» планирование есть часть содержательной формы стратегического планирования, наряду с целеполаганием, прогнозированием и программированием, результатом которого являются документы стратегического планирования. </w:t>
      </w:r>
      <w:proofErr w:type="gramStart"/>
      <w:r w:rsidRPr="3803F7C7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многообразны, классифицируются по различным основаниям, выстроены в определенную систему. Так, на федеральном уровне документами стратегического планирования, разрабатываемыми в рамках целеполагания, являются Ежегодное послание Президента РФ, Стратегия социально-экономического развития, Стратегия национальной безопасности, основы государственной политики, доктрины в сфере обеспечения национальной безопасности, Стратегия научно-технологического развития.</w:t>
      </w:r>
    </w:p>
    <w:p w14:paraId="2DCC06CC" w14:textId="028CD987" w:rsidR="7E8A74D9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>Несмотря на то, что действующее законодательство рассматривает экологическое планирование как вид стратегического планирования в сфере национальной безопасности, исключение положений о нем из ФЗ «Об охране окружающей среды» представляется методологически неверным. Оно самостоятельно по целям и задачам, которые призвано решать, должно служить основой сбалансированного социально-экономического развития страны и качественной среды жизнедеятельности человека и связующим звеном развития экономики и общества.</w:t>
      </w:r>
    </w:p>
    <w:p w14:paraId="5C22829C" w14:textId="663BE6CE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36C3F9" w14:textId="58A6AF9B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9C4BE" w14:textId="7579998A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DB5ED2" w14:textId="7A3E1558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E293A" w14:textId="73798630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EE8798" w14:textId="1B4D5B97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67444B" w14:textId="69735815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794AC7" w14:textId="6948C1EE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DFF43F" w14:textId="4A78F99A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90EC99" w14:textId="3F6D065F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A49D40" w14:textId="3A09ED6C" w:rsidR="7E8A74D9" w:rsidRDefault="3803F7C7" w:rsidP="3803F7C7">
      <w:pPr>
        <w:ind w:left="36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3803F7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  Планировка и застройка территории с учетом экологических требований. </w:t>
      </w:r>
    </w:p>
    <w:p w14:paraId="07A6832F" w14:textId="227BBC4C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C6056" w14:textId="5C762421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территорий городских и сельских поселений предполагает, что разработка градостроительной документации, строительство и реконструкция зданий, строений и сооружений должны осуществляться с соблюдением требований охраны окружающей природной среды, экологической безопасности и санитарных правил, с учетом состояния территорий городских и сельских поселений и ограничений в области экологической безопасности, установленных территориальными комплексными схемами охраны природы и природопользования, а также с учетом последствий вредного</w:t>
      </w:r>
      <w:proofErr w:type="gramEnd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воздействия хозяйственной и иной деятельности на окружающую природную среду и здоровье человека (ст. 10 Градостроительного кодекса РФ). Предусматриваются специальные мероприятия по охране недр, по землеустройству, а также охране окружающей среды зон чрезвычайной экологической ситуации и экологического бедствия, крупных промышленных центров и территориально-производственных комплексов.</w:t>
      </w:r>
    </w:p>
    <w:p w14:paraId="1ACB1215" w14:textId="76E9D907" w:rsidR="7E8A74D9" w:rsidRDefault="7E8A74D9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="3803F7C7"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Собственники, владельцы, пользователи и арендаторы земельных участков и иных объектов недвижимости при осуществлении градостроительной деятельности обязаны соблюдать требования охраны окружающей среды, экологической безопасности, санитарные правила.</w:t>
      </w:r>
    </w:p>
    <w:p w14:paraId="1EA6BE22" w14:textId="7A56A993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Размещение предприятий и организаций должно отвечать правилам зонирования территорий, обеспечения благоприятных условий для проживания населения, а также требованиям сохранения объектов историко-культурного наследия и особо охраняемых природных территорий.</w:t>
      </w:r>
    </w:p>
    <w:p w14:paraId="3A2379D4" w14:textId="2770BFA5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Жилые массивы, промышленные предприятия и другие объекты должны размещаться таким образом, чтобы исключить неблагоприятное воздействие на здоровье населения и санитарно-бытовые условия жизни горожан.</w:t>
      </w:r>
    </w:p>
    <w:p w14:paraId="09DF5262" w14:textId="04D49E76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осуществлении градостроительной деятельности предусматриваются различные виды благоустройства территорий - водоснабжение, канализация, устройство уличных покрытий, озеленение, освещение, обеспечение санитарной очистки и т. д.</w:t>
      </w:r>
    </w:p>
    <w:p w14:paraId="6AB3932D" w14:textId="40155C57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создании и развитии систем инженерной инфраструктуры и благоустройства учитываются интересы поселений, расположенных на прилегающих территориях, в целях недопущения загрязнения источников водоснабжения, почв, атмосферного воздуха, объектов зеленого фонда.</w:t>
      </w:r>
    </w:p>
    <w:p w14:paraId="628F44C7" w14:textId="41F87EB5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планировке и застройке территорий городов осуществляется зонирование, которое направлено на обеспечение благоприятной среды жизнедеятельности, защиту территорий от воздействия чрезвычайных ситуаций природного и техногенного </w:t>
      </w: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 (ст. 37 Градостроительного кодекса РФ).</w:t>
      </w:r>
    </w:p>
    <w:p w14:paraId="1EE336FB" w14:textId="3C64826A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градостроительной документацией на территории городских и сельских поселений могут выделяться жилые, производственные, общественно-деловые, рекреационные зоны и др.</w:t>
      </w:r>
    </w:p>
    <w:p w14:paraId="0D50D88A" w14:textId="1F079FC5" w:rsidR="7E8A74D9" w:rsidRDefault="7E8A74D9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472D27" w14:textId="0054ECE1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предотвращения загрязнения территорий жилых зон, а также для нейтрализации вредных воздействий производственных объектов устанавливаются санитарно-защитные зоны со специальным режимом вокруг промышленных предприятий для отделения их от жилых районов (от 50 до 1000 м в зависимости от класса вредности промышленного объекта) с обязательным поясом зеленых насаждений (ст. 43 Градостроительного кодекса, ст. 12 Федерального закона о санитарно-эпидемиологическом благополучии населения). </w:t>
      </w:r>
      <w:proofErr w:type="gramEnd"/>
    </w:p>
    <w:p w14:paraId="4EED2788" w14:textId="3BAFA5FE" w:rsidR="7E8A74D9" w:rsidRDefault="7E8A74D9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67E6A8" w14:textId="54FD24AB" w:rsidR="7E8A74D9" w:rsidRDefault="7E8A74D9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947F07" w14:textId="70DDB433" w:rsidR="7E8A74D9" w:rsidRDefault="3803F7C7" w:rsidP="3803F7C7">
      <w:pPr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3803F7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3.  Обеспечение санитарного режима городов. </w:t>
      </w:r>
    </w:p>
    <w:p w14:paraId="7CCB81F8" w14:textId="4E63E6D0" w:rsidR="7E8A74D9" w:rsidRDefault="7E8A74D9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AE1D6C" w14:textId="2544C578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Санитарный режим обеспечивается путем проведения мероприятий по предупреждению и ликвидации загрязнения окружающей среды, борьбе с шумом, вибрациями, другими вредными физическими воздействиями, по утилизации и захоронению промышленных и бытовых отходов.</w:t>
      </w:r>
    </w:p>
    <w:p w14:paraId="2C41620B" w14:textId="5577F8C7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санитарной охраны городов - обеспечение санитарно-эпидемиологического благополучия населения, под которым Федеральный закон «О санитарно-эпидемиологическом благополучии населения» понимает такое состояние общественного здоровья и среды обитания людей, при котором отсутствуют опасное и вредное влияние ее факторов на организм человека и имеются благоприятные условия для его жизнедеятельности (ст. 1).</w:t>
      </w:r>
    </w:p>
    <w:p w14:paraId="7F0C4748" w14:textId="44468E1E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функции по реализации правовых мер санитарно-эпидемиологического благополучия населения выполняют службы санитарно-эпидемиологического надзора, входящие в систему Министерства здравоохранения РФ.</w:t>
      </w:r>
    </w:p>
    <w:p w14:paraId="76A0B466" w14:textId="38C06C02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Санитарные правила, то есть нормы, устанавливающие критерии безопасности и (или) безвредности для человека факторов среды его обитания, требования к обеспечению благоприятных условий его жизнедеятельности, обязательны для соблюдения всеми предприятиями, организациями учреждениями, государственными органами, должностными лицами и гражданами (ст. 1 Федерального закона о санитарно-эпидемиологическом благополучии населения).</w:t>
      </w:r>
    </w:p>
    <w:p w14:paraId="2E96E6CC" w14:textId="0C48CABA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 проектировании, строительстве и эксплуатации предприятий и коммунально-бытовых объектов в городах должны осуществляться меры по предупреждению загрязнения атмосферного воздуха, водоемов, подземных вод и почвы. Качество воды источников централизованного водоснабжения, водоемов в черте города, а также атмосферного воздуха должно соответствовать санитарным правилам (ст. 18-20 Федерального закона о санитарно-эпидемиологическом благополучии населения).</w:t>
      </w:r>
    </w:p>
    <w:p w14:paraId="5FA88569" w14:textId="0729AB56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Запрещается ввод в эксплуатацию объектов, не обеспечивающих эффективной очистки, обезвреживания, улавливания вредных отходов и выбросов. В отношении предприятий и транспорта действуют все установленные правила и требования по охране вод, воздуха и почв, рассмотренные выше.</w:t>
      </w:r>
    </w:p>
    <w:p w14:paraId="2057C041" w14:textId="40290627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Санитарный режим городов связан с устранением отрицательного влияния на здоровье людей и окружающую среду вредных физических воздействий. Для производственно-хозяйственных объектов, агрегатов, машин и т. д. установлены предельно допустимые уровни шума. Органы местного самоуправления должны проводить мероприятия по снижению интенсивности и устранению шума в производственных, общественных, жилых зданиях, дворах, улицах и др.</w:t>
      </w:r>
    </w:p>
    <w:p w14:paraId="2D65A2E8" w14:textId="045CFC9C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выполнении работ с радиоактивными веществами и другими источниками ионизирующего и неионизирующего излучения (вибрация, электромагнитные поля радиочастот, ультразвук и другие виды излучений) должны соблюдаться санитарные правила.</w:t>
      </w:r>
    </w:p>
    <w:p w14:paraId="4669403B" w14:textId="0E386290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Граждане РФ имеют право на радиационную безопасность, которая обеспечивается мероприятиями по предотвращению радиационного воздействия на организм человека ионизирующих излучений выше установленных норм и правил, выполнению гражданами и организациями, осуществляющими деятельность с использованием источников ионизирующего излучения, требований к обеспечению радиационной безопасности.</w:t>
      </w:r>
    </w:p>
    <w:p w14:paraId="34C08FDC" w14:textId="1F6A17F6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Общие принципы, требования и основные направления обеспечения радиационной безопасности, права и обязанности граждан и их объединений, полномочия компетентных органов, а также осуществление контроля в данной сфере регулируются Федеральными законами «О радиационной безопасности населения», «Об использовании атомной энергии» и другими нормативными актами.</w:t>
      </w:r>
    </w:p>
    <w:p w14:paraId="3FC0167B" w14:textId="5F67FE5B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Законом о радиационной безопасности населения введена радиационно-гигиеническая паспортизация организаций и территорий, которая является государственной системой оценки влияния основных источников ионизирующего излучения (техногенных и естественных) и направлена на обеспечение радиационной безопасности населения в зависимости от состояния среды обитания и условий жизнедеятельности.</w:t>
      </w:r>
    </w:p>
    <w:p w14:paraId="1A6A7522" w14:textId="1E928E44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Граждане имеют право на регулярное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о продукции, работах, услугах, их соответствии санитарным нормам и правилам, о других факторах, в том числе от организаций, осуществляющих деятельность с использованием источников ионизирующего </w:t>
      </w: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излучения, в пределах выполняемых ими функций о радиационной</w:t>
      </w:r>
      <w:proofErr w:type="gramEnd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обстановке и принимаемых мерах по обеспечению радиационной безопасности (ст. 19 Основ законодательства об охране здоровья граждан, ст. 23 Закона о радиационной безопасности населения).</w:t>
      </w:r>
    </w:p>
    <w:p w14:paraId="15CE5C06" w14:textId="39AF181C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Производственные и бытовые отходы подлежат сбору, переработке, обезвреживанию, захоронению и утилизации, условия и способы которых должны удовлетворять требованиям безопасности и безвредности для здоровья населения (ст. 22 Федерального закона о санитарно-эпидемиологическом благополучии населения).</w:t>
      </w:r>
    </w:p>
    <w:p w14:paraId="3AA3419E" w14:textId="4B0C1273" w:rsidR="7E8A74D9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«Об отходах производства и потребления» основными принципами государственной политики в области обращения с отходами являются охрана здоровья населения, поддержание благоприятного состояния окружающей природной среды. Территории городских и других поселений подлежат регулярной очистке от отходов в соответствии с экологическими, санитарными и иными требованиями. Эту деятельность организуют органы местного самоуправления (ст. 13).</w:t>
      </w:r>
    </w:p>
    <w:p w14:paraId="0F98B2E3" w14:textId="3C536645" w:rsidR="7E8A74D9" w:rsidRDefault="7E8A74D9" w:rsidP="3803F7C7">
      <w:pPr>
        <w:rPr>
          <w:rFonts w:ascii="Calibri" w:eastAsia="Calibri" w:hAnsi="Calibri" w:cs="Calibri"/>
          <w:color w:val="000000" w:themeColor="text1"/>
        </w:rPr>
      </w:pPr>
    </w:p>
    <w:p w14:paraId="704B9A82" w14:textId="18D8D6A9" w:rsidR="7E8A74D9" w:rsidRDefault="7E8A74D9" w:rsidP="3803F7C7"/>
    <w:p w14:paraId="42384523" w14:textId="29F7507B" w:rsidR="7E8A74D9" w:rsidRDefault="7E8A74D9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br/>
      </w:r>
    </w:p>
    <w:p w14:paraId="64049D8D" w14:textId="76C8FD2F" w:rsidR="39645D77" w:rsidRDefault="3803F7C7" w:rsidP="3803F7C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3803F7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Охрана растительности в городах и сельских поселениях. </w:t>
      </w:r>
    </w:p>
    <w:p w14:paraId="4DEA0EAF" w14:textId="0BFB8ABB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EECAC1" w14:textId="1FF47A18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Растительность городских и сельских поселений может включать в себя городские леса, лесопарки, лесные массивы, а также парки и скверы, ботанические и дендрологические сады, озеленительные деревья и кустарники.</w:t>
      </w:r>
    </w:p>
    <w:p w14:paraId="03F32110" w14:textId="625766BF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Зеленая растительность городов выполняет важные санитарно-гигиенические, культурно-оздоровительные и эстетические функции. Она снижает запыленность воздуха, шум, создает благоприятную жизненную среду.</w:t>
      </w:r>
    </w:p>
    <w:p w14:paraId="202E25BC" w14:textId="081BA5D9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Санитарные и строительные правила предусматривают оптимальные размеры площади зеленых насаждений в расчете на одного жителя, предписывают обязательное устройство общегородских и специализированных парков, садов, скверов, бульваров.</w:t>
      </w:r>
    </w:p>
    <w:p w14:paraId="29222F44" w14:textId="4A2733C1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Важную роль в обеспечении благоприятных условий для жизнедеятельности населения и развития города играют пригородные, а также рекреационные зоны.</w:t>
      </w:r>
    </w:p>
    <w:p w14:paraId="6FECA688" w14:textId="7B444466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Рекреационными зонами называются естественные или окультуренные участки земельного или водного пространства, предназначенные для восстановления здоровья и трудоспособности людей, организации массового отдыха и туризма.</w:t>
      </w:r>
    </w:p>
    <w:p w14:paraId="00E21478" w14:textId="7AC2F901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состав таких зон могут входить участки городской территории (сады, парки, скверы, спортивные комплексы), пригородные и зеленые зоны, лесопарки, национальные, </w:t>
      </w: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природные парки, ботанические и зоологические сады, туристские маршруты, территории домов и баз отдыха и др.</w:t>
      </w:r>
    </w:p>
    <w:p w14:paraId="768C6D65" w14:textId="648AD982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рекреационных зон не допускается строительство и расширение действующих промышленных, коммунальных и других объектов, непосредственно не связанных с эксплуатацией объектов оздоровительного и рекреационного назначения (ст. 45 Градостроительного кодекса РФ).</w:t>
      </w:r>
    </w:p>
    <w:p w14:paraId="27D195B0" w14:textId="4281F7F6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Пригородные зоны - это земли, непосредственно окружающие территорию города, которые служат для развития и расширения последней, местом размещения и строительства сооружений, связанных с благоустройством и нормальным функционированием городского хозяйства (сельскохозяйственных предприятий, сооружений транспорта, водоснабжения, канализации и др.), а также занятые лесами, лесопарками и другими зелеными насаждениями, выполняющими защитные и санитарно-гигиенические функции и являющиеся местом отдыха населения (садоводческие товарищества, дома отдыха, турбазы</w:t>
      </w:r>
      <w:proofErr w:type="gramEnd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дачи и др.) (ст. 49 Градостроительного кодекса РФ).</w:t>
      </w:r>
    </w:p>
    <w:p w14:paraId="130AB003" w14:textId="40CD314D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пригородную зону может входить или частично выходить за ее пределы зеленая зона. Это территория за городом, но в близкой доступности для его населения, занятая лесами, лесопарками и другими зелеными насаждениями, выполняющая защитные, санитарно-гигиенические функции и являющаяся местом массового отдыха населения. В зеленых зонах запрещается хозяйственная и иная деятельность, оказывающая вредное воздействие на окружающую природную среду (ст. 50 Градостроительного кодекса РФ).</w:t>
      </w:r>
    </w:p>
    <w:p w14:paraId="65B34655" w14:textId="446632FA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 и его пригородная зона рассматриваются в экономическом и планировочном аспектах как единое целое: правовой режим пригородной зоны подчинен интересам функционирования города.</w:t>
      </w:r>
    </w:p>
    <w:p w14:paraId="0411FC00" w14:textId="6F68FF81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7563B8" w14:textId="0671818E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2F44FC" w14:textId="2452B4CD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09946" w14:textId="2630B004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69DA64" w14:textId="5719175D" w:rsidR="3803F7C7" w:rsidRDefault="3803F7C7" w:rsidP="3803F7C7">
      <w:pPr>
        <w:ind w:left="36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3803F7C7">
        <w:rPr>
          <w:rFonts w:ascii="Times New Roman" w:eastAsia="Times New Roman" w:hAnsi="Times New Roman" w:cs="Times New Roman"/>
          <w:b/>
          <w:bCs/>
          <w:sz w:val="32"/>
          <w:szCs w:val="32"/>
        </w:rPr>
        <w:t>5. Практическая часть по Удмуртской Республике.</w:t>
      </w:r>
    </w:p>
    <w:p w14:paraId="66099A22" w14:textId="56FB75C7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9BA928" w14:textId="04A0893D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Полномочия органов местного самоуправления в сфере отношений, связанных с охраной окружающей природной среды определены:</w:t>
      </w:r>
    </w:p>
    <w:p w14:paraId="79BD625A" w14:textId="3D3D5C78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Конституцией Российской Федерации от 12.12.1993,</w:t>
      </w:r>
    </w:p>
    <w:p w14:paraId="0BD71BB8" w14:textId="6556F5E1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Конституцией Удмуртской Республики от 07.12.1994 № 663-XII,</w:t>
      </w:r>
    </w:p>
    <w:p w14:paraId="2AEB7C16" w14:textId="02E9EFB0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Лесным кодексом Российской Федерации от 04.12.2006 № 200-ФЗ,</w:t>
      </w:r>
    </w:p>
    <w:p w14:paraId="16C417AC" w14:textId="735A9AAA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Федеральным законом от 10 января 2002 года №7-ФЗ "Об охране окружающей среды в Российской Федерации",</w:t>
      </w:r>
    </w:p>
    <w:p w14:paraId="0061A8AB" w14:textId="428508B1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Федеральным законом от 06.10.2003 № 131-ФЗ "Об общих принципах организации местного самоуправления в Российской Федерации",</w:t>
      </w:r>
    </w:p>
    <w:p w14:paraId="2FDF4A80" w14:textId="37D0D84B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Законом Удмуртской Республики от 13.07.2005 № 42-РЗ "О местном самоуправлении в Удмуртской Республике",</w:t>
      </w:r>
    </w:p>
    <w:p w14:paraId="652ECC8F" w14:textId="3DED7098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Уставом города Ижевска, утверждённым Решением Городской думы города Ижевска от 16.06.2005 № 333.</w:t>
      </w:r>
    </w:p>
    <w:p w14:paraId="4FB7FC3A" w14:textId="69D293A9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ч. 3 ст. 44 Устава города Ижевска к полномочиям Администрации города Ижевска в области охраны окружающей среды и использования природных ресурсов относятся:</w:t>
      </w:r>
    </w:p>
    <w:p w14:paraId="4B606EBF" w14:textId="71E7593B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разработка, реализация муниципальных экологических программ и мероприятий, </w:t>
      </w:r>
      <w:proofErr w:type="gramStart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их выполнением;</w:t>
      </w:r>
    </w:p>
    <w:p w14:paraId="28CE57C8" w14:textId="11E931DC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учет и анализ данных о состоянии загрязнения атмосферы города, сбросов в поверхностные водоемы, загрязнения почв, размещения отходов;</w:t>
      </w:r>
    </w:p>
    <w:p w14:paraId="08C816ED" w14:textId="541E1170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организация системы мероприятий, обеспечивающих сохранение и развитие зеленого фонда города;</w:t>
      </w:r>
    </w:p>
    <w:p w14:paraId="33610503" w14:textId="145D276E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владение, пользование и распоряжение водными объектами, находящимися в муниципальной собственности;</w:t>
      </w:r>
    </w:p>
    <w:p w14:paraId="6FA2D658" w14:textId="5AA2757D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утверждение порядка расчета, установления ставок платы и взимания платы за пользование водными объектами, находящимися в собственности муниципального образования "Город Ижевск";</w:t>
      </w:r>
    </w:p>
    <w:p w14:paraId="1390B528" w14:textId="4E9BBF43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пользование;</w:t>
      </w:r>
    </w:p>
    <w:p w14:paraId="7576F508" w14:textId="7FFF01FC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7) </w:t>
      </w:r>
      <w:proofErr w:type="gramStart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14:paraId="2B1304F1" w14:textId="29236FEC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 осуществление мер по предотвращению негативного воздействия вод и ликвидации в отношении водных объектов, находящихся в муниципальной собственности;</w:t>
      </w:r>
    </w:p>
    <w:p w14:paraId="47A1BDA9" w14:textId="7A17DBBF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 установление правил использования водных объектов общего пользования, расположенных на территории муниципального образования "Город Ижевск", для личных и бытовых нужд;</w:t>
      </w:r>
    </w:p>
    <w:p w14:paraId="17CCEE45" w14:textId="688BC76A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10) предоставление гражданам информации об ограничениях водопользования на водных объектах общего пользования, расположенных на территории муниципального образования "Город Ижевск";</w:t>
      </w:r>
    </w:p>
    <w:p w14:paraId="6B8C650D" w14:textId="502B6290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11) осуществление мер по охране водных объектов, находящихся в собственности муниципального образования "Город Ижевск";</w:t>
      </w:r>
    </w:p>
    <w:p w14:paraId="3263E100" w14:textId="15FBA990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12) владение, пользование, распоряжение лесными участками, находящимися в муниципальной собственности;</w:t>
      </w:r>
    </w:p>
    <w:p w14:paraId="20B37E79" w14:textId="6DF71F94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13) установление ставок платы за единицу объема лесных ресурсов и ставок платы за единицу площади такого лесного участка в целях его аренды;</w:t>
      </w:r>
    </w:p>
    <w:p w14:paraId="491B4544" w14:textId="2FAED562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14) установление ставок платы за единицу объема древесины;</w:t>
      </w:r>
    </w:p>
    <w:p w14:paraId="4057362F" w14:textId="02DCCF10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15) разработка и утверждение лесохозяйственных регламентов, а также проведение муниципальной экспертизы проектов освоения лесов;</w:t>
      </w:r>
    </w:p>
    <w:p w14:paraId="62C952FB" w14:textId="0A58C6C8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16) осуществление муниципального лесного контроля в отношении лесных участков, находящихся в муниципальной собственности;</w:t>
      </w:r>
    </w:p>
    <w:p w14:paraId="788456C1" w14:textId="2F26FB37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17) организация осуществления мер пожарной безопасности в городских лесах, находящихся в муниципальной собственности;</w:t>
      </w:r>
    </w:p>
    <w:p w14:paraId="69DE952D" w14:textId="5E8BC890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18) рассмотрение результатов общественного контроля в области охраны окружающей среды (общественного экологического контроля);</w:t>
      </w:r>
    </w:p>
    <w:p w14:paraId="35661759" w14:textId="628C85DA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19) использование, охрана, защита, воспроизводство городских лесов, лесов особо охраняемых природных территорий, расположенных в границах городского округа;</w:t>
      </w:r>
    </w:p>
    <w:p w14:paraId="2F372FE8" w14:textId="1A950448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19.1) осуществление муниципального контроля в области охраны и </w:t>
      </w:r>
      <w:proofErr w:type="gramStart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</w:t>
      </w:r>
      <w:proofErr w:type="gramEnd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особо охраняемых природных территорий в порядке, установленном муниципальными правовыми актами;</w:t>
      </w:r>
    </w:p>
    <w:p w14:paraId="240ECF98" w14:textId="3DBB506C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20) определение порядка проведения общественных слушаний по намечаемой на территории муниципального образования "Город Ижевск" хозяйственной и иной деятельности, подлежащей экологической экспертизе.</w:t>
      </w:r>
    </w:p>
    <w:p w14:paraId="22A21AC6" w14:textId="0E7E9F5B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21) 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14:paraId="10FAB833" w14:textId="485F9771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5824F9" w14:textId="01A9F25A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1456C" w14:textId="5500F43D" w:rsidR="3803F7C7" w:rsidRDefault="3803F7C7" w:rsidP="3803F7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федеральному законодательству органы местного самоуправления городских округов принимают участие в организации деятельности по сбору (в том числе раздельному сбору), транспортированию, обработке, утилизации, обезвреживанию, захоронению ТКО. На территории муниципального образования «Город Ижевск» деятельность в области обращения с отходами регламентируется Правилами благоустройства города Ижевска, утвержденных решением Городской думы города Ижевска от 28.06.2012 г.№308 (раздел 10 «Требования по регулированию очистки территории города Ижевска от отходов (за исключением обращения с опасными отходами»)), отвечающих требованиям действующего законодательства.</w:t>
      </w:r>
    </w:p>
    <w:p w14:paraId="5D6FEB60" w14:textId="3EFD7CFE" w:rsidR="3803F7C7" w:rsidRDefault="3803F7C7" w:rsidP="3803F7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 Ижевске, как и во многих других городах России, остро стоит проблема с вывозом твердых коммунальных отходов (ТКО). Несмотря на то, что все образовавшиеся отходы должны собираться и вывозиться специализированными организациями на городской полигон ТКО, из-за безответственности некоторых организаций и местных жителей отходами ТКО завалены окрестности жилых районов, овраги, леса, </w:t>
      </w:r>
      <w:proofErr w:type="spellStart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зоны рек. Действующее природоохранное законодательство запрещает всем гражданам и организациям размещать твердые </w:t>
      </w: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бытовые отходы на городской территории. Несоблюдение экологических требований при обращении с отходами влечет наложение административного штрафа на граждан в размере до двух тысяч рублей; на должностных лиц - до тридцати тысяч рублей; на юридических лиц - до двухсот пятидесяти тысяч рублей (ст. 8.2 Кодекса об административных правонарушениях).</w:t>
      </w:r>
    </w:p>
    <w:p w14:paraId="1B666759" w14:textId="18DE3642" w:rsidR="3803F7C7" w:rsidRDefault="3803F7C7" w:rsidP="3803F7C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Каждую весну в городе проводится большая работа по санитарной очистке городской территории и ликвидации несанкционированных свалок. На эти цели ежегодно выделяются значительные средства из городского бюджета. Пока такие свалки ликвидируются за счет средств городского бюджета, но уместно и логично, чтобы нарушители сами несли бремя расходов, связанных с ликвидацией несанкционированных свалок. Все факты размещения бытовых отходов на городской территории фиксируются в виде фотоматериалов и отправляются в государственные природоохранные органы для принятия мер административного воздействия. К экологическим правонарушителям будут применяться штрафные санкции вплоть до максимальных штрафов.</w:t>
      </w:r>
    </w:p>
    <w:p w14:paraId="3FA17340" w14:textId="422CF92F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4F4342" w14:textId="442DCD20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Также в Удмуртии имеются определенные организации, которые следят за окружающей средой: 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3803F7C7" w14:paraId="16395855" w14:textId="77777777" w:rsidTr="3803F7C7">
        <w:tc>
          <w:tcPr>
            <w:tcW w:w="2256" w:type="dxa"/>
          </w:tcPr>
          <w:p w14:paraId="609C3A99" w14:textId="36B6FA75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ООО "</w:t>
            </w:r>
            <w:proofErr w:type="spellStart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Удмуртвторресурс</w:t>
            </w:r>
            <w:proofErr w:type="spellEnd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" (обезвреживание)</w:t>
            </w:r>
          </w:p>
        </w:tc>
        <w:tc>
          <w:tcPr>
            <w:tcW w:w="2256" w:type="dxa"/>
          </w:tcPr>
          <w:p w14:paraId="373B540F" w14:textId="2568FC06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proofErr w:type="gramStart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 xml:space="preserve">г. Ижевск, </w:t>
            </w:r>
            <w:proofErr w:type="spellStart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ул.К</w:t>
            </w:r>
            <w:proofErr w:type="spellEnd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. Маркса, 130;</w:t>
            </w:r>
            <w:r>
              <w:br/>
            </w: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 xml:space="preserve">г. Ижевск, ул. </w:t>
            </w:r>
            <w:proofErr w:type="spellStart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Новоажимова</w:t>
            </w:r>
            <w:proofErr w:type="spellEnd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, 13</w:t>
            </w:r>
            <w:proofErr w:type="gramEnd"/>
          </w:p>
        </w:tc>
        <w:tc>
          <w:tcPr>
            <w:tcW w:w="2256" w:type="dxa"/>
          </w:tcPr>
          <w:p w14:paraId="337FC59D" w14:textId="1E4088A7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(3412) 52-67-83</w:t>
            </w:r>
          </w:p>
        </w:tc>
        <w:tc>
          <w:tcPr>
            <w:tcW w:w="2256" w:type="dxa"/>
          </w:tcPr>
          <w:p w14:paraId="058CC8BF" w14:textId="451400B9" w:rsidR="3803F7C7" w:rsidRDefault="3803F7C7" w:rsidP="3803F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803F7C7" w14:paraId="48D4AE46" w14:textId="77777777" w:rsidTr="3803F7C7">
        <w:tc>
          <w:tcPr>
            <w:tcW w:w="2256" w:type="dxa"/>
          </w:tcPr>
          <w:p w14:paraId="2FA2B934" w14:textId="4C8F843C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2.</w:t>
            </w:r>
          </w:p>
        </w:tc>
        <w:tc>
          <w:tcPr>
            <w:tcW w:w="2256" w:type="dxa"/>
          </w:tcPr>
          <w:p w14:paraId="63C6DC47" w14:textId="66E46AD6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ООО «</w:t>
            </w:r>
            <w:proofErr w:type="spellStart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Экор</w:t>
            </w:r>
            <w:proofErr w:type="spellEnd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»  (сбор и транспортирование)</w:t>
            </w:r>
            <w:r>
              <w:br/>
            </w:r>
          </w:p>
        </w:tc>
        <w:tc>
          <w:tcPr>
            <w:tcW w:w="2256" w:type="dxa"/>
          </w:tcPr>
          <w:p w14:paraId="03A34057" w14:textId="114BE2DF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г. Ижевск, ул. Телегина, 30 офис 430</w:t>
            </w:r>
          </w:p>
        </w:tc>
        <w:tc>
          <w:tcPr>
            <w:tcW w:w="2256" w:type="dxa"/>
          </w:tcPr>
          <w:p w14:paraId="0463A67C" w14:textId="6B7D7D14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(3412) 47-04-75</w:t>
            </w:r>
          </w:p>
        </w:tc>
      </w:tr>
      <w:tr w:rsidR="3803F7C7" w14:paraId="7ACBEB48" w14:textId="77777777" w:rsidTr="3803F7C7">
        <w:tc>
          <w:tcPr>
            <w:tcW w:w="2256" w:type="dxa"/>
          </w:tcPr>
          <w:p w14:paraId="1B1A5E3F" w14:textId="70873A78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3.</w:t>
            </w:r>
          </w:p>
        </w:tc>
        <w:tc>
          <w:tcPr>
            <w:tcW w:w="2256" w:type="dxa"/>
          </w:tcPr>
          <w:p w14:paraId="6A5069FC" w14:textId="657C252C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ООО КБ «Экология» (сбор, транспортирование, обработка, утилизация)</w:t>
            </w:r>
            <w:r>
              <w:br/>
            </w:r>
          </w:p>
        </w:tc>
        <w:tc>
          <w:tcPr>
            <w:tcW w:w="2256" w:type="dxa"/>
          </w:tcPr>
          <w:p w14:paraId="6203C788" w14:textId="19069FFB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 xml:space="preserve">г.  Ижевск, ул. </w:t>
            </w:r>
            <w:proofErr w:type="gramStart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Мельничная</w:t>
            </w:r>
            <w:proofErr w:type="gramEnd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, 1</w:t>
            </w:r>
            <w:r>
              <w:br/>
            </w:r>
          </w:p>
        </w:tc>
        <w:tc>
          <w:tcPr>
            <w:tcW w:w="2256" w:type="dxa"/>
          </w:tcPr>
          <w:p w14:paraId="1F5492B3" w14:textId="41996F32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(3412) 57-05-08</w:t>
            </w:r>
            <w:r>
              <w:br/>
            </w: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 xml:space="preserve">(3412) 57-05-09 </w:t>
            </w:r>
            <w:r>
              <w:br/>
            </w: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(3412) 47-44-44</w:t>
            </w:r>
          </w:p>
        </w:tc>
      </w:tr>
      <w:tr w:rsidR="3803F7C7" w14:paraId="428EF5E1" w14:textId="77777777" w:rsidTr="3803F7C7">
        <w:tc>
          <w:tcPr>
            <w:tcW w:w="2256" w:type="dxa"/>
          </w:tcPr>
          <w:p w14:paraId="1A31CC85" w14:textId="44174FEE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4.</w:t>
            </w:r>
          </w:p>
        </w:tc>
        <w:tc>
          <w:tcPr>
            <w:tcW w:w="2256" w:type="dxa"/>
          </w:tcPr>
          <w:p w14:paraId="33935D38" w14:textId="0366F6F8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 xml:space="preserve">ООО «ИКЦ-ЭКО» (транспортирование) </w:t>
            </w:r>
            <w:r>
              <w:br/>
            </w:r>
          </w:p>
        </w:tc>
        <w:tc>
          <w:tcPr>
            <w:tcW w:w="2256" w:type="dxa"/>
          </w:tcPr>
          <w:p w14:paraId="085EA8A3" w14:textId="75E922C7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 xml:space="preserve">г. Ижевск, ул. </w:t>
            </w:r>
            <w:proofErr w:type="gramStart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Мельничная</w:t>
            </w:r>
            <w:proofErr w:type="gramEnd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, 58</w:t>
            </w:r>
          </w:p>
        </w:tc>
        <w:tc>
          <w:tcPr>
            <w:tcW w:w="2256" w:type="dxa"/>
          </w:tcPr>
          <w:p w14:paraId="044C5097" w14:textId="0BB4E78C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(3412) 91-84-52</w:t>
            </w:r>
          </w:p>
        </w:tc>
      </w:tr>
      <w:tr w:rsidR="3803F7C7" w14:paraId="22A8A136" w14:textId="77777777" w:rsidTr="3803F7C7">
        <w:tc>
          <w:tcPr>
            <w:tcW w:w="2256" w:type="dxa"/>
          </w:tcPr>
          <w:p w14:paraId="78FDF9FC" w14:textId="16A24E91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5.</w:t>
            </w:r>
          </w:p>
        </w:tc>
        <w:tc>
          <w:tcPr>
            <w:tcW w:w="2256" w:type="dxa"/>
          </w:tcPr>
          <w:p w14:paraId="3D06FEDE" w14:textId="7ABF015B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ООО ДСК «Индустриальная» (транспортирование)</w:t>
            </w:r>
            <w:r>
              <w:br/>
            </w:r>
          </w:p>
        </w:tc>
        <w:tc>
          <w:tcPr>
            <w:tcW w:w="2256" w:type="dxa"/>
          </w:tcPr>
          <w:p w14:paraId="0C841522" w14:textId="4508EEDF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г. Ижевск, ул. 9 Января, 185а</w:t>
            </w:r>
          </w:p>
        </w:tc>
        <w:tc>
          <w:tcPr>
            <w:tcW w:w="2256" w:type="dxa"/>
          </w:tcPr>
          <w:p w14:paraId="49B44D0B" w14:textId="1FB48BD7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(3412) 40-71-19</w:t>
            </w:r>
          </w:p>
        </w:tc>
      </w:tr>
      <w:tr w:rsidR="3803F7C7" w14:paraId="50A9E961" w14:textId="77777777" w:rsidTr="3803F7C7">
        <w:tc>
          <w:tcPr>
            <w:tcW w:w="2256" w:type="dxa"/>
          </w:tcPr>
          <w:p w14:paraId="12439432" w14:textId="5643582F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6.</w:t>
            </w:r>
          </w:p>
        </w:tc>
        <w:tc>
          <w:tcPr>
            <w:tcW w:w="2256" w:type="dxa"/>
          </w:tcPr>
          <w:p w14:paraId="39AF510D" w14:textId="3B8B8F92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ООО «Системы экологической безопасности +» (транспортировани</w:t>
            </w: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lastRenderedPageBreak/>
              <w:t>е)</w:t>
            </w:r>
            <w:r>
              <w:br/>
            </w:r>
          </w:p>
        </w:tc>
        <w:tc>
          <w:tcPr>
            <w:tcW w:w="2256" w:type="dxa"/>
          </w:tcPr>
          <w:p w14:paraId="0AAA0266" w14:textId="41F364FC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lastRenderedPageBreak/>
              <w:t>г. Ижевск, ул. Ленина, 38 офис 25</w:t>
            </w:r>
          </w:p>
        </w:tc>
        <w:tc>
          <w:tcPr>
            <w:tcW w:w="2256" w:type="dxa"/>
          </w:tcPr>
          <w:p w14:paraId="3D61A5BA" w14:textId="20510FB6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(3412) 36-00-55</w:t>
            </w:r>
            <w:r>
              <w:br/>
            </w: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(3412) 72-80-05</w:t>
            </w:r>
          </w:p>
        </w:tc>
      </w:tr>
      <w:tr w:rsidR="3803F7C7" w14:paraId="4E9FF279" w14:textId="77777777" w:rsidTr="3803F7C7">
        <w:tc>
          <w:tcPr>
            <w:tcW w:w="2256" w:type="dxa"/>
          </w:tcPr>
          <w:p w14:paraId="4A1D0C91" w14:textId="53DB3172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56" w:type="dxa"/>
          </w:tcPr>
          <w:p w14:paraId="17BFB2CA" w14:textId="38E9C603" w:rsidR="3803F7C7" w:rsidRDefault="3803F7C7" w:rsidP="3803F7C7">
            <w:pPr>
              <w:jc w:val="both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ООО «</w:t>
            </w:r>
            <w:proofErr w:type="spellStart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Вилма</w:t>
            </w:r>
            <w:proofErr w:type="spellEnd"/>
            <w:r w:rsidRPr="3803F7C7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»  (транспортирование)</w:t>
            </w:r>
          </w:p>
        </w:tc>
        <w:tc>
          <w:tcPr>
            <w:tcW w:w="2256" w:type="dxa"/>
          </w:tcPr>
          <w:p w14:paraId="10BA5A31" w14:textId="00BA89BA" w:rsidR="3803F7C7" w:rsidRDefault="3803F7C7" w:rsidP="3803F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055103A" w14:textId="214C757B" w:rsidR="3803F7C7" w:rsidRDefault="3803F7C7" w:rsidP="3803F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069E75" w14:textId="7CB95F48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3011B" w14:textId="47025384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сбор и вывоз отходов с территории жилых многоквартирных домов возлагается на лицо (юридическое или физическое), которое осуществляет функции управления данным многоквартирным домом на основании договора управления многоквартирным домом.</w:t>
      </w:r>
    </w:p>
    <w:p w14:paraId="1DA4A5E1" w14:textId="1DC8DFC8" w:rsidR="3803F7C7" w:rsidRDefault="3803F7C7" w:rsidP="3803F7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сбор и вывоз отходов с территории административных зданий, строений, объектов социальной сферы возлагается на лицо (юридическое или физическое), которое владеет или управляет данным имуществом по основанию, предусмотренному законодательством или договором.</w:t>
      </w:r>
    </w:p>
    <w:p w14:paraId="295790B3" w14:textId="325A7655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93FDC1" w14:textId="7C8E2B12" w:rsidR="3803F7C7" w:rsidRDefault="3803F7C7" w:rsidP="3803F7C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2D0BEFC" w14:textId="7FA7C789" w:rsidR="3803F7C7" w:rsidRDefault="3803F7C7" w:rsidP="3803F7C7">
      <w:pPr>
        <w:ind w:left="36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3803F7C7">
        <w:rPr>
          <w:rFonts w:ascii="Times New Roman" w:eastAsia="Times New Roman" w:hAnsi="Times New Roman" w:cs="Times New Roman"/>
          <w:b/>
          <w:bCs/>
          <w:sz w:val="32"/>
          <w:szCs w:val="32"/>
        </w:rPr>
        <w:t>6.  Список литературы</w:t>
      </w:r>
    </w:p>
    <w:p w14:paraId="0491393D" w14:textId="1535070D" w:rsidR="3803F7C7" w:rsidRDefault="3803F7C7" w:rsidP="3803F7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E005DA" w14:textId="32799AD7" w:rsidR="3803F7C7" w:rsidRDefault="3803F7C7" w:rsidP="3803F7C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>Экологическое право (</w:t>
      </w:r>
      <w:proofErr w:type="spellStart"/>
      <w:r w:rsidRPr="3803F7C7">
        <w:rPr>
          <w:rFonts w:ascii="Times New Roman" w:eastAsia="Times New Roman" w:hAnsi="Times New Roman" w:cs="Times New Roman"/>
          <w:sz w:val="24"/>
          <w:szCs w:val="24"/>
        </w:rPr>
        <w:t>Покатова</w:t>
      </w:r>
      <w:proofErr w:type="spellEnd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В.П. 2008г) </w:t>
      </w:r>
      <w:hyperlink r:id="rId6">
        <w:r w:rsidRPr="3803F7C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https://www.izh.ru/i/info/14686.html</w:t>
        </w:r>
      </w:hyperlink>
    </w:p>
    <w:p w14:paraId="356B61E3" w14:textId="3DF6170F" w:rsidR="3803F7C7" w:rsidRDefault="00231F01" w:rsidP="3803F7C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hyperlink r:id="rId7">
        <w:r w:rsidR="3803F7C7" w:rsidRPr="3803F7C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https://www.izh.ru/i/info/home.html</w:t>
        </w:r>
      </w:hyperlink>
    </w:p>
    <w:p w14:paraId="31D21828" w14:textId="4FB27269" w:rsidR="3803F7C7" w:rsidRDefault="3803F7C7" w:rsidP="3803F7C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Белов С.В., </w:t>
      </w:r>
      <w:proofErr w:type="spellStart"/>
      <w:r w:rsidRPr="3803F7C7">
        <w:rPr>
          <w:rFonts w:ascii="Times New Roman" w:eastAsia="Times New Roman" w:hAnsi="Times New Roman" w:cs="Times New Roman"/>
          <w:sz w:val="24"/>
          <w:szCs w:val="24"/>
        </w:rPr>
        <w:t>Бабинов</w:t>
      </w:r>
      <w:proofErr w:type="spellEnd"/>
      <w:r w:rsidRPr="3803F7C7">
        <w:rPr>
          <w:rFonts w:ascii="Times New Roman" w:eastAsia="Times New Roman" w:hAnsi="Times New Roman" w:cs="Times New Roman"/>
          <w:sz w:val="24"/>
          <w:szCs w:val="24"/>
        </w:rPr>
        <w:t xml:space="preserve"> Ф. А. и др. Охрана окружающей среды</w:t>
      </w:r>
    </w:p>
    <w:p w14:paraId="0ADF547D" w14:textId="5B0A56DF" w:rsidR="3803F7C7" w:rsidRDefault="3803F7C7" w:rsidP="3803F7C7">
      <w:pPr>
        <w:ind w:left="360"/>
      </w:pPr>
    </w:p>
    <w:sectPr w:rsidR="3803F7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3B3"/>
    <w:multiLevelType w:val="hybridMultilevel"/>
    <w:tmpl w:val="8A4ABE42"/>
    <w:lvl w:ilvl="0" w:tplc="7318D4CA">
      <w:start w:val="1"/>
      <w:numFmt w:val="decimal"/>
      <w:lvlText w:val="%1."/>
      <w:lvlJc w:val="left"/>
      <w:pPr>
        <w:ind w:left="720" w:hanging="360"/>
      </w:pPr>
    </w:lvl>
    <w:lvl w:ilvl="1" w:tplc="D75216C2">
      <w:start w:val="1"/>
      <w:numFmt w:val="lowerLetter"/>
      <w:lvlText w:val="%2."/>
      <w:lvlJc w:val="left"/>
      <w:pPr>
        <w:ind w:left="1440" w:hanging="360"/>
      </w:pPr>
    </w:lvl>
    <w:lvl w:ilvl="2" w:tplc="7388BA44">
      <w:start w:val="1"/>
      <w:numFmt w:val="lowerRoman"/>
      <w:lvlText w:val="%3."/>
      <w:lvlJc w:val="right"/>
      <w:pPr>
        <w:ind w:left="2160" w:hanging="180"/>
      </w:pPr>
    </w:lvl>
    <w:lvl w:ilvl="3" w:tplc="3F82C100">
      <w:start w:val="1"/>
      <w:numFmt w:val="decimal"/>
      <w:lvlText w:val="%4."/>
      <w:lvlJc w:val="left"/>
      <w:pPr>
        <w:ind w:left="2880" w:hanging="360"/>
      </w:pPr>
    </w:lvl>
    <w:lvl w:ilvl="4" w:tplc="9454DF92">
      <w:start w:val="1"/>
      <w:numFmt w:val="lowerLetter"/>
      <w:lvlText w:val="%5."/>
      <w:lvlJc w:val="left"/>
      <w:pPr>
        <w:ind w:left="3600" w:hanging="360"/>
      </w:pPr>
    </w:lvl>
    <w:lvl w:ilvl="5" w:tplc="A086E228">
      <w:start w:val="1"/>
      <w:numFmt w:val="lowerRoman"/>
      <w:lvlText w:val="%6."/>
      <w:lvlJc w:val="right"/>
      <w:pPr>
        <w:ind w:left="4320" w:hanging="180"/>
      </w:pPr>
    </w:lvl>
    <w:lvl w:ilvl="6" w:tplc="A1A82FAA">
      <w:start w:val="1"/>
      <w:numFmt w:val="decimal"/>
      <w:lvlText w:val="%7."/>
      <w:lvlJc w:val="left"/>
      <w:pPr>
        <w:ind w:left="5040" w:hanging="360"/>
      </w:pPr>
    </w:lvl>
    <w:lvl w:ilvl="7" w:tplc="0002B13C">
      <w:start w:val="1"/>
      <w:numFmt w:val="lowerLetter"/>
      <w:lvlText w:val="%8."/>
      <w:lvlJc w:val="left"/>
      <w:pPr>
        <w:ind w:left="5760" w:hanging="360"/>
      </w:pPr>
    </w:lvl>
    <w:lvl w:ilvl="8" w:tplc="C074CC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01D1"/>
    <w:multiLevelType w:val="hybridMultilevel"/>
    <w:tmpl w:val="B80E635A"/>
    <w:lvl w:ilvl="0" w:tplc="FB1C1C44">
      <w:start w:val="1"/>
      <w:numFmt w:val="decimal"/>
      <w:lvlText w:val="%1."/>
      <w:lvlJc w:val="left"/>
      <w:pPr>
        <w:ind w:left="720" w:hanging="360"/>
      </w:pPr>
    </w:lvl>
    <w:lvl w:ilvl="1" w:tplc="B63C910A">
      <w:start w:val="1"/>
      <w:numFmt w:val="lowerLetter"/>
      <w:lvlText w:val="%2."/>
      <w:lvlJc w:val="left"/>
      <w:pPr>
        <w:ind w:left="1440" w:hanging="360"/>
      </w:pPr>
    </w:lvl>
    <w:lvl w:ilvl="2" w:tplc="C6BEE95E">
      <w:start w:val="1"/>
      <w:numFmt w:val="lowerRoman"/>
      <w:lvlText w:val="%3."/>
      <w:lvlJc w:val="right"/>
      <w:pPr>
        <w:ind w:left="2160" w:hanging="180"/>
      </w:pPr>
    </w:lvl>
    <w:lvl w:ilvl="3" w:tplc="7242B1E8">
      <w:start w:val="1"/>
      <w:numFmt w:val="decimal"/>
      <w:lvlText w:val="%4."/>
      <w:lvlJc w:val="left"/>
      <w:pPr>
        <w:ind w:left="2880" w:hanging="360"/>
      </w:pPr>
    </w:lvl>
    <w:lvl w:ilvl="4" w:tplc="A516D814">
      <w:start w:val="1"/>
      <w:numFmt w:val="lowerLetter"/>
      <w:lvlText w:val="%5."/>
      <w:lvlJc w:val="left"/>
      <w:pPr>
        <w:ind w:left="3600" w:hanging="360"/>
      </w:pPr>
    </w:lvl>
    <w:lvl w:ilvl="5" w:tplc="F0BE35F2">
      <w:start w:val="1"/>
      <w:numFmt w:val="lowerRoman"/>
      <w:lvlText w:val="%6."/>
      <w:lvlJc w:val="right"/>
      <w:pPr>
        <w:ind w:left="4320" w:hanging="180"/>
      </w:pPr>
    </w:lvl>
    <w:lvl w:ilvl="6" w:tplc="E54AFE90">
      <w:start w:val="1"/>
      <w:numFmt w:val="decimal"/>
      <w:lvlText w:val="%7."/>
      <w:lvlJc w:val="left"/>
      <w:pPr>
        <w:ind w:left="5040" w:hanging="360"/>
      </w:pPr>
    </w:lvl>
    <w:lvl w:ilvl="7" w:tplc="9F144C9E">
      <w:start w:val="1"/>
      <w:numFmt w:val="lowerLetter"/>
      <w:lvlText w:val="%8."/>
      <w:lvlJc w:val="left"/>
      <w:pPr>
        <w:ind w:left="5760" w:hanging="360"/>
      </w:pPr>
    </w:lvl>
    <w:lvl w:ilvl="8" w:tplc="97D8DD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61716"/>
    <w:multiLevelType w:val="hybridMultilevel"/>
    <w:tmpl w:val="ABF2049E"/>
    <w:lvl w:ilvl="0" w:tplc="8A72DD62">
      <w:start w:val="1"/>
      <w:numFmt w:val="decimal"/>
      <w:lvlText w:val="%1."/>
      <w:lvlJc w:val="left"/>
      <w:pPr>
        <w:ind w:left="720" w:hanging="360"/>
      </w:pPr>
    </w:lvl>
    <w:lvl w:ilvl="1" w:tplc="85743D92">
      <w:start w:val="1"/>
      <w:numFmt w:val="lowerLetter"/>
      <w:lvlText w:val="%2."/>
      <w:lvlJc w:val="left"/>
      <w:pPr>
        <w:ind w:left="1440" w:hanging="360"/>
      </w:pPr>
    </w:lvl>
    <w:lvl w:ilvl="2" w:tplc="845E9B1E">
      <w:start w:val="1"/>
      <w:numFmt w:val="lowerRoman"/>
      <w:lvlText w:val="%3."/>
      <w:lvlJc w:val="right"/>
      <w:pPr>
        <w:ind w:left="2160" w:hanging="180"/>
      </w:pPr>
    </w:lvl>
    <w:lvl w:ilvl="3" w:tplc="7CF2D9AC">
      <w:start w:val="1"/>
      <w:numFmt w:val="decimal"/>
      <w:lvlText w:val="%4."/>
      <w:lvlJc w:val="left"/>
      <w:pPr>
        <w:ind w:left="2880" w:hanging="360"/>
      </w:pPr>
    </w:lvl>
    <w:lvl w:ilvl="4" w:tplc="428A33B2">
      <w:start w:val="1"/>
      <w:numFmt w:val="lowerLetter"/>
      <w:lvlText w:val="%5."/>
      <w:lvlJc w:val="left"/>
      <w:pPr>
        <w:ind w:left="3600" w:hanging="360"/>
      </w:pPr>
    </w:lvl>
    <w:lvl w:ilvl="5" w:tplc="ACF0F152">
      <w:start w:val="1"/>
      <w:numFmt w:val="lowerRoman"/>
      <w:lvlText w:val="%6."/>
      <w:lvlJc w:val="right"/>
      <w:pPr>
        <w:ind w:left="4320" w:hanging="180"/>
      </w:pPr>
    </w:lvl>
    <w:lvl w:ilvl="6" w:tplc="5A5A86D0">
      <w:start w:val="1"/>
      <w:numFmt w:val="decimal"/>
      <w:lvlText w:val="%7."/>
      <w:lvlJc w:val="left"/>
      <w:pPr>
        <w:ind w:left="5040" w:hanging="360"/>
      </w:pPr>
    </w:lvl>
    <w:lvl w:ilvl="7" w:tplc="81203156">
      <w:start w:val="1"/>
      <w:numFmt w:val="lowerLetter"/>
      <w:lvlText w:val="%8."/>
      <w:lvlJc w:val="left"/>
      <w:pPr>
        <w:ind w:left="5760" w:hanging="360"/>
      </w:pPr>
    </w:lvl>
    <w:lvl w:ilvl="8" w:tplc="1FD8F5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F526E"/>
    <w:multiLevelType w:val="hybridMultilevel"/>
    <w:tmpl w:val="35BE0930"/>
    <w:lvl w:ilvl="0" w:tplc="EE3CF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0E7A">
      <w:start w:val="1"/>
      <w:numFmt w:val="lowerLetter"/>
      <w:lvlText w:val="%2."/>
      <w:lvlJc w:val="left"/>
      <w:pPr>
        <w:ind w:left="1440" w:hanging="360"/>
      </w:pPr>
    </w:lvl>
    <w:lvl w:ilvl="2" w:tplc="AAC286BE">
      <w:start w:val="1"/>
      <w:numFmt w:val="lowerRoman"/>
      <w:lvlText w:val="%3."/>
      <w:lvlJc w:val="right"/>
      <w:pPr>
        <w:ind w:left="2160" w:hanging="180"/>
      </w:pPr>
    </w:lvl>
    <w:lvl w:ilvl="3" w:tplc="9C58478C">
      <w:start w:val="1"/>
      <w:numFmt w:val="decimal"/>
      <w:lvlText w:val="%4."/>
      <w:lvlJc w:val="left"/>
      <w:pPr>
        <w:ind w:left="2880" w:hanging="360"/>
      </w:pPr>
    </w:lvl>
    <w:lvl w:ilvl="4" w:tplc="4B08ECC0">
      <w:start w:val="1"/>
      <w:numFmt w:val="lowerLetter"/>
      <w:lvlText w:val="%5."/>
      <w:lvlJc w:val="left"/>
      <w:pPr>
        <w:ind w:left="3600" w:hanging="360"/>
      </w:pPr>
    </w:lvl>
    <w:lvl w:ilvl="5" w:tplc="22B4AA32">
      <w:start w:val="1"/>
      <w:numFmt w:val="lowerRoman"/>
      <w:lvlText w:val="%6."/>
      <w:lvlJc w:val="right"/>
      <w:pPr>
        <w:ind w:left="4320" w:hanging="180"/>
      </w:pPr>
    </w:lvl>
    <w:lvl w:ilvl="6" w:tplc="DB142A4A">
      <w:start w:val="1"/>
      <w:numFmt w:val="decimal"/>
      <w:lvlText w:val="%7."/>
      <w:lvlJc w:val="left"/>
      <w:pPr>
        <w:ind w:left="5040" w:hanging="360"/>
      </w:pPr>
    </w:lvl>
    <w:lvl w:ilvl="7" w:tplc="C4CC3AF0">
      <w:start w:val="1"/>
      <w:numFmt w:val="lowerLetter"/>
      <w:lvlText w:val="%8."/>
      <w:lvlJc w:val="left"/>
      <w:pPr>
        <w:ind w:left="5760" w:hanging="360"/>
      </w:pPr>
    </w:lvl>
    <w:lvl w:ilvl="8" w:tplc="7C5A13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B5FB7"/>
    <w:rsid w:val="00231F01"/>
    <w:rsid w:val="31DB5FB7"/>
    <w:rsid w:val="3803F7C7"/>
    <w:rsid w:val="39645D77"/>
    <w:rsid w:val="7E8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5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zh.ru/i/info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zh.ru/i/info/1468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Qoroke Kat'ka</dc:creator>
  <cp:lastModifiedBy>Dmitry V Stolpovskih</cp:lastModifiedBy>
  <cp:revision>2</cp:revision>
  <dcterms:created xsi:type="dcterms:W3CDTF">2020-10-19T06:01:00Z</dcterms:created>
  <dcterms:modified xsi:type="dcterms:W3CDTF">2020-10-19T06:01:00Z</dcterms:modified>
</cp:coreProperties>
</file>