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1744">
      <w:pPr>
        <w:spacing w:line="360" w:lineRule="auto"/>
        <w:jc w:val="center"/>
      </w:pPr>
      <w:r>
        <w:t>Балтийский федеральный университет им. И. Канта</w:t>
      </w:r>
    </w:p>
    <w:p w:rsidR="00000000" w:rsidRDefault="00F71744">
      <w:pPr>
        <w:spacing w:line="360" w:lineRule="auto"/>
        <w:jc w:val="center"/>
      </w:pPr>
      <w:r>
        <w:t>юридический институт</w:t>
      </w:r>
    </w:p>
    <w:p w:rsidR="00000000" w:rsidRDefault="00F71744">
      <w:pPr>
        <w:spacing w:line="360" w:lineRule="auto"/>
        <w:jc w:val="center"/>
        <w:rPr>
          <w:sz w:val="28"/>
          <w:szCs w:val="28"/>
        </w:rPr>
      </w:pPr>
      <w:r>
        <w:t>кафедра уголовного процесса, криминалистики и правовой информатики</w:t>
      </w: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Курсовая работа на тему </w:t>
      </w:r>
    </w:p>
    <w:p w:rsidR="00000000" w:rsidRDefault="00F71744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32"/>
          <w:szCs w:val="32"/>
        </w:rPr>
        <w:t>тактические особенности допроса несовершеннолетнего подозреваемого (обвиняемого)</w:t>
      </w:r>
      <w:bookmarkEnd w:id="0"/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right"/>
      </w:pPr>
      <w:r>
        <w:rPr>
          <w:b/>
          <w:bCs/>
        </w:rPr>
        <w:t>В</w:t>
      </w:r>
      <w:r>
        <w:rPr>
          <w:b/>
          <w:bCs/>
        </w:rPr>
        <w:t>ыполнила:</w:t>
      </w:r>
      <w:r>
        <w:t xml:space="preserve"> студентка 4 курса</w:t>
      </w:r>
    </w:p>
    <w:p w:rsidR="00000000" w:rsidRDefault="00F71744">
      <w:pPr>
        <w:spacing w:line="360" w:lineRule="auto"/>
        <w:jc w:val="right"/>
      </w:pPr>
      <w:r>
        <w:t>дневного бюджетного отделения</w:t>
      </w:r>
    </w:p>
    <w:p w:rsidR="00000000" w:rsidRDefault="00F71744">
      <w:pPr>
        <w:spacing w:line="360" w:lineRule="auto"/>
        <w:jc w:val="right"/>
        <w:rPr>
          <w:b/>
          <w:bCs/>
        </w:rPr>
      </w:pPr>
      <w:r>
        <w:t>Астапова Алина Григорьевна</w:t>
      </w:r>
    </w:p>
    <w:p w:rsidR="00000000" w:rsidRDefault="00F71744">
      <w:pPr>
        <w:spacing w:line="360" w:lineRule="auto"/>
        <w:jc w:val="right"/>
      </w:pPr>
      <w:r>
        <w:rPr>
          <w:b/>
          <w:bCs/>
        </w:rPr>
        <w:t>Научный руководитель:</w:t>
      </w:r>
    </w:p>
    <w:p w:rsidR="00000000" w:rsidRDefault="00F71744">
      <w:pPr>
        <w:spacing w:line="360" w:lineRule="auto"/>
        <w:jc w:val="right"/>
        <w:rPr>
          <w:sz w:val="28"/>
          <w:szCs w:val="28"/>
        </w:rPr>
      </w:pPr>
      <w:r>
        <w:t xml:space="preserve"> </w:t>
      </w:r>
      <w:r>
        <w:t>ассистент Маковеева А.Е.</w:t>
      </w: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both"/>
        <w:rPr>
          <w:sz w:val="28"/>
          <w:szCs w:val="28"/>
        </w:rPr>
      </w:pPr>
    </w:p>
    <w:p w:rsidR="00000000" w:rsidRDefault="00F71744">
      <w:pPr>
        <w:spacing w:line="360" w:lineRule="auto"/>
        <w:jc w:val="center"/>
        <w:sectPr w:rsidR="0000000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693" w:right="850" w:bottom="1976" w:left="1701" w:header="1417" w:footer="1417" w:gutter="0"/>
          <w:cols w:space="720"/>
          <w:docGrid w:linePitch="600" w:charSpace="32768"/>
        </w:sectPr>
      </w:pPr>
      <w:r>
        <w:t xml:space="preserve">Калининград 2014  </w:t>
      </w:r>
    </w:p>
    <w:p w:rsidR="00000000" w:rsidRDefault="00F71744">
      <w:pPr>
        <w:pStyle w:val="ad"/>
      </w:pPr>
      <w:r>
        <w:t>Оглавление</w:t>
      </w:r>
    </w:p>
    <w:p w:rsidR="00000000" w:rsidRDefault="00F71744">
      <w:pPr>
        <w:pStyle w:val="12"/>
        <w:tabs>
          <w:tab w:val="right" w:leader="dot" w:pos="9355"/>
        </w:tabs>
      </w:pPr>
      <w:r>
        <w:fldChar w:fldCharType="begin"/>
      </w:r>
      <w:r>
        <w:instrText xml:space="preserve"> TOC </w:instrText>
      </w:r>
      <w:r>
        <w:fldChar w:fldCharType="separate"/>
      </w:r>
      <w:r>
        <w:t>Введение</w:t>
      </w:r>
      <w:r>
        <w:tab/>
      </w:r>
      <w:hyperlink w:anchor="__RefHeading__40_1030595168" w:history="1">
        <w:r>
          <w:t>3</w:t>
        </w:r>
      </w:hyperlink>
    </w:p>
    <w:p w:rsidR="00000000" w:rsidRDefault="00F71744">
      <w:pPr>
        <w:pStyle w:val="12"/>
        <w:tabs>
          <w:tab w:val="right" w:leader="dot" w:pos="9355"/>
        </w:tabs>
      </w:pPr>
      <w:r>
        <w:t>Законодательные основы д</w:t>
      </w:r>
      <w:r>
        <w:t>опроса несовершеннолетнего подозреваемого (обвиняемого)</w:t>
      </w:r>
      <w:r>
        <w:tab/>
      </w:r>
      <w:hyperlink w:anchor="__RefHeading__42_1030595168" w:history="1">
        <w:r>
          <w:t>5</w:t>
        </w:r>
      </w:hyperlink>
    </w:p>
    <w:p w:rsidR="00000000" w:rsidRDefault="00F71744">
      <w:pPr>
        <w:pStyle w:val="20"/>
        <w:numPr>
          <w:ilvl w:val="1"/>
          <w:numId w:val="3"/>
        </w:numPr>
        <w:tabs>
          <w:tab w:val="right" w:leader="dot" w:pos="9355"/>
        </w:tabs>
      </w:pPr>
      <w:r>
        <w:t>Международное право</w:t>
      </w:r>
      <w:r>
        <w:tab/>
      </w:r>
      <w:hyperlink w:anchor="__RefHeading__44_1030595168" w:history="1">
        <w:r>
          <w:t>5</w:t>
        </w:r>
      </w:hyperlink>
    </w:p>
    <w:p w:rsidR="00000000" w:rsidRDefault="00F71744">
      <w:pPr>
        <w:pStyle w:val="20"/>
        <w:numPr>
          <w:ilvl w:val="1"/>
          <w:numId w:val="3"/>
        </w:numPr>
        <w:tabs>
          <w:tab w:val="right" w:leader="dot" w:pos="9355"/>
        </w:tabs>
      </w:pPr>
      <w:r>
        <w:t>Законодательство Российской Федерации</w:t>
      </w:r>
      <w:r>
        <w:tab/>
      </w:r>
      <w:hyperlink w:anchor="__RefHeading__46_1030595168" w:history="1">
        <w:r>
          <w:t>6</w:t>
        </w:r>
      </w:hyperlink>
    </w:p>
    <w:p w:rsidR="00000000" w:rsidRDefault="00F71744">
      <w:pPr>
        <w:pStyle w:val="12"/>
        <w:tabs>
          <w:tab w:val="right" w:leader="dot" w:pos="9355"/>
        </w:tabs>
      </w:pPr>
      <w:r>
        <w:t>Тактико-психологические особенности допроса несовершеннолетнего подозреваемого (обвиняемого)</w:t>
      </w:r>
      <w:r>
        <w:tab/>
      </w:r>
      <w:hyperlink w:anchor="__RefHeading__48_1030595168" w:history="1">
        <w:r>
          <w:t>9</w:t>
        </w:r>
      </w:hyperlink>
    </w:p>
    <w:p w:rsidR="00000000" w:rsidRDefault="00F71744">
      <w:pPr>
        <w:pStyle w:val="20"/>
        <w:numPr>
          <w:ilvl w:val="1"/>
          <w:numId w:val="3"/>
        </w:numPr>
        <w:tabs>
          <w:tab w:val="right" w:leader="dot" w:pos="9355"/>
        </w:tabs>
      </w:pPr>
      <w:r>
        <w:t>Подготовительная стадия</w:t>
      </w:r>
      <w:r>
        <w:tab/>
      </w:r>
      <w:hyperlink w:anchor="__RefHeading__50_1030595168" w:history="1">
        <w:r>
          <w:t>10</w:t>
        </w:r>
      </w:hyperlink>
    </w:p>
    <w:p w:rsidR="00000000" w:rsidRDefault="00F71744">
      <w:pPr>
        <w:pStyle w:val="20"/>
        <w:numPr>
          <w:ilvl w:val="1"/>
          <w:numId w:val="3"/>
        </w:numPr>
        <w:tabs>
          <w:tab w:val="right" w:leader="dot" w:pos="9355"/>
        </w:tabs>
      </w:pPr>
      <w:r>
        <w:t>Стадия свободного рассказа и с</w:t>
      </w:r>
      <w:r>
        <w:t>тадия постановки вопросов</w:t>
      </w:r>
      <w:r>
        <w:tab/>
      </w:r>
      <w:hyperlink w:anchor="__RefHeading__52_1030595168" w:history="1">
        <w:r>
          <w:t>12</w:t>
        </w:r>
      </w:hyperlink>
    </w:p>
    <w:p w:rsidR="00000000" w:rsidRDefault="00F71744">
      <w:pPr>
        <w:pStyle w:val="20"/>
        <w:numPr>
          <w:ilvl w:val="1"/>
          <w:numId w:val="3"/>
        </w:numPr>
        <w:tabs>
          <w:tab w:val="right" w:leader="dot" w:pos="9355"/>
        </w:tabs>
      </w:pPr>
      <w:r>
        <w:t>Стадия фиксации хода и результатов допроса</w:t>
      </w:r>
      <w:r>
        <w:tab/>
      </w:r>
      <w:hyperlink w:anchor="__RefHeading__54_1030595168" w:history="1">
        <w:r>
          <w:t>13</w:t>
        </w:r>
      </w:hyperlink>
    </w:p>
    <w:p w:rsidR="00000000" w:rsidRDefault="00F71744">
      <w:pPr>
        <w:pStyle w:val="12"/>
        <w:tabs>
          <w:tab w:val="right" w:leader="dot" w:pos="9355"/>
        </w:tabs>
      </w:pPr>
      <w:r>
        <w:t>Проблемы, связанные с привлечением к допросу несовершеннолетнего подозреваемого (обви</w:t>
      </w:r>
      <w:r>
        <w:t>няемого) иных участников</w:t>
      </w:r>
      <w:r>
        <w:tab/>
      </w:r>
      <w:hyperlink w:anchor="__RefHeading__56_1030595168" w:history="1">
        <w:r>
          <w:t>15</w:t>
        </w:r>
      </w:hyperlink>
    </w:p>
    <w:p w:rsidR="00000000" w:rsidRDefault="00F71744">
      <w:pPr>
        <w:pStyle w:val="20"/>
        <w:numPr>
          <w:ilvl w:val="0"/>
          <w:numId w:val="3"/>
        </w:numPr>
        <w:tabs>
          <w:tab w:val="right" w:leader="dot" w:pos="9355"/>
        </w:tabs>
      </w:pPr>
      <w:r>
        <w:t>Заключение</w:t>
      </w:r>
      <w:r>
        <w:tab/>
      </w:r>
      <w:hyperlink w:anchor="__RefHeading__58_1030595168" w:history="1">
        <w:r>
          <w:t>18</w:t>
        </w:r>
      </w:hyperlink>
    </w:p>
    <w:p w:rsidR="00000000" w:rsidRDefault="00F71744">
      <w:pPr>
        <w:pStyle w:val="12"/>
        <w:tabs>
          <w:tab w:val="right" w:leader="dot" w:pos="9355"/>
        </w:tabs>
      </w:pPr>
      <w:r>
        <w:t>Список литературы</w:t>
      </w:r>
      <w:r>
        <w:tab/>
      </w:r>
      <w:hyperlink w:anchor="__RefHeading__60_1030595168" w:history="1">
        <w:r>
          <w:t>20</w:t>
        </w:r>
      </w:hyperlink>
    </w:p>
    <w:p w:rsidR="00000000" w:rsidRDefault="00F71744">
      <w:pPr>
        <w:pStyle w:val="30"/>
        <w:tabs>
          <w:tab w:val="right" w:leader="dot" w:pos="9638"/>
        </w:tabs>
        <w:rPr>
          <w:sz w:val="28"/>
          <w:szCs w:val="28"/>
        </w:rPr>
      </w:pPr>
      <w:r>
        <w:fldChar w:fldCharType="end"/>
      </w:r>
    </w:p>
    <w:p w:rsidR="00000000" w:rsidRDefault="00F71744">
      <w:pPr>
        <w:spacing w:line="360" w:lineRule="auto"/>
        <w:jc w:val="center"/>
        <w:rPr>
          <w:sz w:val="28"/>
          <w:szCs w:val="28"/>
        </w:rPr>
      </w:pPr>
    </w:p>
    <w:p w:rsidR="00000000" w:rsidRDefault="00F71744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a1"/>
        <w:rPr>
          <w:rFonts w:cs="Times New Roman"/>
          <w:sz w:val="28"/>
          <w:szCs w:val="28"/>
        </w:rPr>
      </w:pPr>
    </w:p>
    <w:p w:rsidR="00000000" w:rsidRDefault="00F71744">
      <w:pPr>
        <w:pStyle w:val="1"/>
        <w:spacing w:line="360" w:lineRule="auto"/>
        <w:jc w:val="center"/>
        <w:rPr>
          <w:sz w:val="26"/>
          <w:szCs w:val="26"/>
        </w:rPr>
      </w:pPr>
      <w:bookmarkStart w:id="1" w:name="__RefHeading__40_1030595168"/>
      <w:bookmarkStart w:id="2" w:name="__RefHeading__3258_1171958822"/>
      <w:bookmarkStart w:id="3" w:name="__RefHeading__811_1171958822"/>
      <w:bookmarkStart w:id="4" w:name="__RefHeading__3207_1070253526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6"/>
          <w:szCs w:val="26"/>
        </w:rPr>
        <w:t>1.Введение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Преступность нес</w:t>
      </w:r>
      <w:r>
        <w:rPr>
          <w:sz w:val="26"/>
          <w:szCs w:val="26"/>
        </w:rPr>
        <w:t>овершеннолетних неотъемлемая часть преступности в общем ещё с древних времен.  Подверженный влиянию семьи, общественности, средств массовой информации, авторитетов, своих желаний о самоутверждении, несовершеннолетний часто становится субъектом деяния, запр</w:t>
      </w:r>
      <w:r>
        <w:rPr>
          <w:sz w:val="26"/>
          <w:szCs w:val="26"/>
        </w:rPr>
        <w:t xml:space="preserve">ещенного законом. 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статистике В России с 2011 по 2013 гг. наблюдался спад преступлений совершенных несовершеннолетними, прирост составлял -8,5% в 2011 г. и -10,6% в 2012 г., однако в 2013 г. уровень преступности несовершеннолетних возрос примерно на 5%</w:t>
      </w:r>
      <w:r>
        <w:rPr>
          <w:sz w:val="26"/>
          <w:szCs w:val="26"/>
        </w:rPr>
        <w:t xml:space="preserve"> по сравнению с 2012 г.</w:t>
      </w:r>
      <w:r>
        <w:rPr>
          <w:rStyle w:val="a8"/>
          <w:sz w:val="26"/>
          <w:szCs w:val="26"/>
        </w:rPr>
        <w:footnoteReference w:id="1"/>
      </w:r>
      <w:r>
        <w:rPr>
          <w:sz w:val="26"/>
          <w:szCs w:val="26"/>
        </w:rPr>
        <w:t xml:space="preserve"> Резкие перепады показателей лишь доказывают то, что актуальность темы еще не исчерпана, так как до настоящего времени не нашли однозначного эффективного рычага влияния на детскую и подростковую психику, который бы избавил общество </w:t>
      </w:r>
      <w:r>
        <w:rPr>
          <w:sz w:val="26"/>
          <w:szCs w:val="26"/>
        </w:rPr>
        <w:t xml:space="preserve">от детей-преступников. 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Начавшись со стрельбы в московской школе №263, 2014 г. стал апогеем несовершеннолетних преступников, приблизив тем самым Россию к тому «безумию» подростков , которое уже давно не редкость в мире, а особенно в США. Данное крайне аб</w:t>
      </w:r>
      <w:r>
        <w:rPr>
          <w:sz w:val="26"/>
          <w:szCs w:val="26"/>
        </w:rPr>
        <w:t>сурдное в соотношении причин, жестокости и плановости деяние московского школьника, заставило официальных лиц задуматься о большей внимательности к проблемам преступности несовершеннолетних и некоторых других направлений, связанных с указанной преступность</w:t>
      </w:r>
      <w:r>
        <w:rPr>
          <w:sz w:val="26"/>
          <w:szCs w:val="26"/>
        </w:rPr>
        <w:t>ю. Президент РФ Путин В.В. Призвал больше внимания уделять воспитанию подрастающего поколения</w:t>
      </w:r>
      <w:r>
        <w:rPr>
          <w:rStyle w:val="a8"/>
          <w:sz w:val="26"/>
          <w:szCs w:val="26"/>
        </w:rPr>
        <w:footnoteReference w:id="2"/>
      </w:r>
      <w:r>
        <w:rPr>
          <w:sz w:val="26"/>
          <w:szCs w:val="26"/>
        </w:rPr>
        <w:t>, Общественная палата обратилась в Совет Безопасности с просьбой принять меры по борьбе с растущей детской преступностью в России, столкнулись  диаметрально проти</w:t>
      </w:r>
      <w:r>
        <w:rPr>
          <w:sz w:val="26"/>
          <w:szCs w:val="26"/>
        </w:rPr>
        <w:t>воположные мнения о причинах толкающих подростков и детей идти на совершение преступлений: кто-то винит гуманизм и особое отношение со стороны государства, кто-то считает, что во всем виноват тот самый жесткий контроль, кто-то вменяет вину общественному ра</w:t>
      </w:r>
      <w:r>
        <w:rPr>
          <w:sz w:val="26"/>
          <w:szCs w:val="26"/>
        </w:rPr>
        <w:t>внодушию, а кто-то как уполномоченный по правам ребенка в г.Москве Е.Бунимович ратует за взаимодействие госструктур, ответственных за профилактик детской преступности.</w:t>
      </w:r>
      <w:r>
        <w:rPr>
          <w:rStyle w:val="a8"/>
          <w:sz w:val="26"/>
          <w:szCs w:val="26"/>
        </w:rPr>
        <w:footnoteReference w:id="3"/>
      </w:r>
      <w:r>
        <w:rPr>
          <w:sz w:val="26"/>
          <w:szCs w:val="26"/>
        </w:rPr>
        <w:t xml:space="preserve"> Пока чиновники договариваются и приходят к единому мнению, преступность несовершеннолет</w:t>
      </w:r>
      <w:r>
        <w:rPr>
          <w:sz w:val="26"/>
          <w:szCs w:val="26"/>
        </w:rPr>
        <w:t xml:space="preserve">них продолжает крепнуть. 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Несовершеннолетние даже совершив какое-либо преступление все же остаются несовершеннолетними со своими психическими и умственными особенностями, поэтому расследование преступлений, совершенных данной категорией лиц, требует от сл</w:t>
      </w:r>
      <w:r>
        <w:rPr>
          <w:sz w:val="26"/>
          <w:szCs w:val="26"/>
        </w:rPr>
        <w:t xml:space="preserve">едователя, дознавателя отличного от общего порядка действий.  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Объектом исследования данной курсовой работы являются т</w:t>
      </w:r>
      <w:r>
        <w:rPr>
          <w:sz w:val="26"/>
          <w:szCs w:val="26"/>
        </w:rPr>
        <w:t>актические особенности допроса несовершеннолетнего подозреваемого (обвиняемого).</w:t>
      </w:r>
    </w:p>
    <w:p w:rsidR="00000000" w:rsidRDefault="00F71744">
      <w:pPr>
        <w:pStyle w:val="a1"/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Цель написания курсовой работы состоит в</w:t>
      </w:r>
      <w:r>
        <w:rPr>
          <w:sz w:val="26"/>
          <w:szCs w:val="26"/>
        </w:rPr>
        <w:t xml:space="preserve"> изучении особе</w:t>
      </w:r>
      <w:r>
        <w:rPr>
          <w:sz w:val="26"/>
          <w:szCs w:val="26"/>
        </w:rPr>
        <w:t>нностей допроса несовершеннолетних подозреваемых, обвиняемых.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Задачи исследования:</w:t>
      </w:r>
    </w:p>
    <w:p w:rsidR="00000000" w:rsidRDefault="00F71744">
      <w:pPr>
        <w:pStyle w:val="a1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Рассмотреть международное и российское законодательство, применяемо при допросе несовершеннолетнего подозреваемого (обвиняемого);</w:t>
      </w:r>
    </w:p>
    <w:p w:rsidR="00000000" w:rsidRDefault="00F71744">
      <w:pPr>
        <w:pStyle w:val="a1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Рассмотреть процессуальные особенности и т</w:t>
      </w:r>
      <w:r>
        <w:rPr>
          <w:sz w:val="26"/>
          <w:szCs w:val="26"/>
        </w:rPr>
        <w:t>актику допроса несовершеннолетних подозреваемых (обвиняемых);</w:t>
      </w:r>
    </w:p>
    <w:p w:rsidR="00000000" w:rsidRDefault="00F71744">
      <w:pPr>
        <w:pStyle w:val="a1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Рассмотреть проблемы, связанные с участием несовершеннолетнего в производстве допроса.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1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__RefHeading__42_1030595168"/>
      <w:bookmarkStart w:id="6" w:name="__RefHeading__3260_1171958822"/>
      <w:bookmarkStart w:id="7" w:name="__RefHeading__840_1171958822"/>
      <w:bookmarkStart w:id="8" w:name="__RefHeading__3209_1070253526"/>
      <w:bookmarkEnd w:id="5"/>
      <w:bookmarkEnd w:id="6"/>
      <w:bookmarkEnd w:id="7"/>
      <w:bookmarkEnd w:id="8"/>
      <w:r>
        <w:rPr>
          <w:rFonts w:ascii="Times New Roman" w:hAnsi="Times New Roman" w:cs="Times New Roman"/>
          <w:sz w:val="26"/>
          <w:szCs w:val="26"/>
        </w:rPr>
        <w:t>2.Законодательные основы допроса несовершеннолетнего подозреваемого (обвиняемого)</w:t>
      </w:r>
    </w:p>
    <w:p w:rsidR="00000000" w:rsidRDefault="00F71744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9" w:name="__RefHeading__44_1030595168"/>
      <w:bookmarkStart w:id="10" w:name="__RefHeading__3262_1171958822"/>
      <w:bookmarkStart w:id="11" w:name="__RefHeading__842_1171958822"/>
      <w:bookmarkStart w:id="12" w:name="__RefHeading__3211_1070253526"/>
      <w:bookmarkEnd w:id="9"/>
      <w:bookmarkEnd w:id="10"/>
      <w:bookmarkEnd w:id="11"/>
      <w:bookmarkEnd w:id="12"/>
      <w:r>
        <w:rPr>
          <w:rFonts w:ascii="Times New Roman" w:hAnsi="Times New Roman" w:cs="Times New Roman"/>
          <w:i w:val="0"/>
          <w:iCs w:val="0"/>
          <w:sz w:val="26"/>
          <w:szCs w:val="26"/>
        </w:rPr>
        <w:t>2.1.Международное пра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во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Права и свободы несовершеннолетних регламентируются как нормативно-правовыми актами общего, так и специального характера международного и национального уровней. Из них следует, что несовершеннолетние находятся на особом положении, и применение к ним оп</w:t>
      </w:r>
      <w:r>
        <w:rPr>
          <w:rFonts w:cs="Times New Roman"/>
          <w:sz w:val="26"/>
          <w:szCs w:val="26"/>
        </w:rPr>
        <w:t xml:space="preserve">ределенных норм имеет свои особенности.  </w:t>
      </w:r>
      <w:r>
        <w:rPr>
          <w:rFonts w:cs="Times New Roman"/>
          <w:sz w:val="26"/>
          <w:szCs w:val="26"/>
        </w:rPr>
        <w:tab/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Изначально необходимо определить кого можно считать несовершеннолетним. Так, в соответствии с Конвенцией о правах ребенка несовершеннолетним считается «каждое человеческое существо до достижения 18-летнего возрас</w:t>
      </w:r>
      <w:r>
        <w:rPr>
          <w:rFonts w:cs="Times New Roman"/>
          <w:sz w:val="26"/>
          <w:szCs w:val="26"/>
        </w:rPr>
        <w:t>та, если по закону, применимому к данному ребенку, он не достигает совершеннолетия ранее»</w:t>
      </w:r>
      <w:r>
        <w:rPr>
          <w:rStyle w:val="a8"/>
          <w:rFonts w:cs="Times New Roman"/>
          <w:sz w:val="26"/>
          <w:szCs w:val="26"/>
        </w:rPr>
        <w:footnoteReference w:id="4"/>
      </w:r>
      <w:r>
        <w:rPr>
          <w:rFonts w:cs="Times New Roman"/>
          <w:sz w:val="26"/>
          <w:szCs w:val="26"/>
        </w:rPr>
        <w:t>. Аналогичное положение указано в Правилах ООН, касающихся защиты несовершеннолетних, лишенных свободы</w:t>
      </w:r>
      <w:r>
        <w:rPr>
          <w:rStyle w:val="a8"/>
          <w:rFonts w:cs="Times New Roman"/>
          <w:sz w:val="26"/>
          <w:szCs w:val="26"/>
        </w:rPr>
        <w:footnoteReference w:id="5"/>
      </w:r>
      <w:r>
        <w:rPr>
          <w:rFonts w:cs="Times New Roman"/>
          <w:sz w:val="26"/>
          <w:szCs w:val="26"/>
        </w:rPr>
        <w:t>, в которых несовершеннолетним признается лицо в возрасте до 18</w:t>
      </w:r>
      <w:r>
        <w:rPr>
          <w:rFonts w:cs="Times New Roman"/>
          <w:sz w:val="26"/>
          <w:szCs w:val="26"/>
        </w:rPr>
        <w:t xml:space="preserve"> лет. В данных актах понятие «несовершеннолетний» и «ребенок» являются синонимами, при условии, что достижение совершеннолетия не происходит раньше или позже указанного восемнадцатилетнего возраста. В соответствии с указанными нормами к лицу не достигшему </w:t>
      </w:r>
      <w:r>
        <w:rPr>
          <w:rFonts w:cs="Times New Roman"/>
          <w:sz w:val="26"/>
          <w:szCs w:val="26"/>
        </w:rPr>
        <w:t xml:space="preserve">18 лет применяются специальные нормы, в том числе при проведении в отношении него определенных следственных действий, призванные дать ему дополнительную защиту его прав и свобод. </w:t>
      </w:r>
    </w:p>
    <w:p w:rsidR="00000000" w:rsidRDefault="00F71744">
      <w:pPr>
        <w:pStyle w:val="a1"/>
        <w:spacing w:line="360" w:lineRule="auto"/>
        <w:ind w:left="1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Международно-правовую защиту детей осуществляет ЮНИСЕФ — детский фонд ООН, </w:t>
      </w:r>
      <w:r>
        <w:rPr>
          <w:rFonts w:cs="Times New Roman"/>
          <w:sz w:val="26"/>
          <w:szCs w:val="26"/>
        </w:rPr>
        <w:t>который разработал основные международные нормативно-правовые акты по защите прав несовершеннолетних, а именно:</w:t>
      </w:r>
    </w:p>
    <w:p w:rsidR="00000000" w:rsidRDefault="00F71744">
      <w:pPr>
        <w:pStyle w:val="a1"/>
        <w:numPr>
          <w:ilvl w:val="0"/>
          <w:numId w:val="4"/>
        </w:numPr>
        <w:tabs>
          <w:tab w:val="left" w:pos="1414"/>
        </w:tabs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Декларация прав ребенка (1959) </w:t>
      </w:r>
    </w:p>
    <w:p w:rsidR="00000000" w:rsidRDefault="00F71744">
      <w:pPr>
        <w:pStyle w:val="a1"/>
        <w:numPr>
          <w:ilvl w:val="0"/>
          <w:numId w:val="4"/>
        </w:numPr>
        <w:tabs>
          <w:tab w:val="left" w:pos="1414"/>
        </w:tabs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Конвенция  ООН о правах ребенка (1989) </w:t>
      </w:r>
    </w:p>
    <w:p w:rsidR="00000000" w:rsidRDefault="00F71744">
      <w:pPr>
        <w:pStyle w:val="a1"/>
        <w:numPr>
          <w:ilvl w:val="0"/>
          <w:numId w:val="4"/>
        </w:numPr>
        <w:tabs>
          <w:tab w:val="left" w:pos="1414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Всемирная декларация об обеспечении выживания, защиты и развития детей (</w:t>
      </w:r>
      <w:r>
        <w:rPr>
          <w:rFonts w:cs="Times New Roman"/>
          <w:sz w:val="26"/>
          <w:szCs w:val="26"/>
        </w:rPr>
        <w:t>1990).</w:t>
      </w:r>
    </w:p>
    <w:p w:rsidR="00000000" w:rsidRDefault="00F71744">
      <w:pPr>
        <w:pStyle w:val="a1"/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В перечисленных выше актах закреплены основные права и свободы детей, в соответствии с которыми правоохранительные органы отдельных государств-членов ООН могут производить какие-либо действия в отношении указанных лиц. </w:t>
      </w:r>
    </w:p>
    <w:p w:rsidR="00000000" w:rsidRDefault="00F71744">
      <w:pPr>
        <w:pStyle w:val="a1"/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Среди всех закрепленных пра</w:t>
      </w:r>
      <w:r>
        <w:rPr>
          <w:rFonts w:cs="Times New Roman"/>
          <w:sz w:val="26"/>
          <w:szCs w:val="26"/>
        </w:rPr>
        <w:t>в и свобод детей (несовершеннолетних) особо следует отметить: право свободно выражать свои собственные взгляды по всем вопросам, затрагивающим ребенка (</w:t>
      </w:r>
      <w:r>
        <w:rPr>
          <w:rFonts w:cs="Times New Roman"/>
          <w:color w:val="000000"/>
          <w:sz w:val="26"/>
          <w:szCs w:val="26"/>
        </w:rPr>
        <w:t>взглядам ребенка уделяется должное внимание в соответствии с возрастом и зрелостью ребенка</w:t>
      </w:r>
      <w:r>
        <w:rPr>
          <w:rFonts w:cs="Times New Roman"/>
          <w:sz w:val="26"/>
          <w:szCs w:val="26"/>
        </w:rPr>
        <w:t>); ни один реб</w:t>
      </w:r>
      <w:r>
        <w:rPr>
          <w:rFonts w:cs="Times New Roman"/>
          <w:sz w:val="26"/>
          <w:szCs w:val="26"/>
        </w:rPr>
        <w:t xml:space="preserve">енок, в том числе совершивший правонарушение, не может быть подвергнут пыткам или иным жестоким, бесчеловечным или унижающим достоинство видам обращения или наказания; </w:t>
      </w:r>
      <w:r>
        <w:rPr>
          <w:rFonts w:cs="Times New Roman"/>
          <w:color w:val="000000"/>
          <w:sz w:val="26"/>
          <w:szCs w:val="26"/>
        </w:rPr>
        <w:t>право каждого ребенка, который, как считается, нарушил уголовное законодательство, обвин</w:t>
      </w:r>
      <w:r>
        <w:rPr>
          <w:rFonts w:cs="Times New Roman"/>
          <w:color w:val="000000"/>
          <w:sz w:val="26"/>
          <w:szCs w:val="26"/>
        </w:rPr>
        <w:t>яется или признается виновным в его нарушении, на применение к нему презумпции невиновности, на свободу от принуждения признания вины</w:t>
      </w:r>
      <w:r>
        <w:rPr>
          <w:rStyle w:val="a8"/>
          <w:rFonts w:cs="Times New Roman"/>
          <w:color w:val="000000"/>
          <w:sz w:val="26"/>
          <w:szCs w:val="26"/>
        </w:rPr>
        <w:footnoteReference w:id="6"/>
      </w:r>
      <w:r>
        <w:rPr>
          <w:rFonts w:cs="Times New Roman"/>
          <w:color w:val="000000"/>
          <w:sz w:val="26"/>
          <w:szCs w:val="26"/>
        </w:rPr>
        <w:t xml:space="preserve">.     </w:t>
      </w:r>
    </w:p>
    <w:p w:rsidR="00000000" w:rsidRDefault="00F71744">
      <w:pPr>
        <w:pStyle w:val="2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3" w:name="__RefHeading__46_1030595168"/>
      <w:bookmarkStart w:id="14" w:name="__RefHeading__3264_1171958822"/>
      <w:bookmarkStart w:id="15" w:name="__RefHeading__846_1171958822"/>
      <w:bookmarkStart w:id="16" w:name="__RefHeading__3213_1070253526"/>
      <w:bookmarkEnd w:id="13"/>
      <w:bookmarkEnd w:id="14"/>
      <w:bookmarkEnd w:id="15"/>
      <w:bookmarkEnd w:id="16"/>
      <w:r>
        <w:rPr>
          <w:rFonts w:ascii="Times New Roman" w:hAnsi="Times New Roman" w:cs="Times New Roman"/>
          <w:i w:val="0"/>
          <w:iCs w:val="0"/>
          <w:sz w:val="26"/>
          <w:szCs w:val="26"/>
        </w:rPr>
        <w:t>2.2.Законодательство Российской Федерации</w:t>
      </w:r>
    </w:p>
    <w:p w:rsidR="00000000" w:rsidRDefault="00F71744">
      <w:pPr>
        <w:pStyle w:val="a1"/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Российское законодательство аналогично с международным соединяет воедино</w:t>
      </w:r>
      <w:r>
        <w:rPr>
          <w:rFonts w:cs="Times New Roman"/>
          <w:sz w:val="26"/>
          <w:szCs w:val="26"/>
        </w:rPr>
        <w:t xml:space="preserve"> понятия «несовершеннолетний» и «ребенок», однако не делая между ними различий ни при каких условиях и указывая на наличие определенных особенностей, которые появляются при  участием в каких-либо действиях несовершеннолетних. Так, Семейный кодекс РФ обозна</w:t>
      </w:r>
      <w:r>
        <w:rPr>
          <w:rFonts w:cs="Times New Roman"/>
          <w:sz w:val="26"/>
          <w:szCs w:val="26"/>
        </w:rPr>
        <w:t>чает, что «ребенком признается лицо, не достигшее восемнадцати лет (совершеннолетия)»</w:t>
      </w:r>
      <w:r>
        <w:rPr>
          <w:rStyle w:val="a8"/>
          <w:rFonts w:cs="Times New Roman"/>
          <w:sz w:val="26"/>
          <w:szCs w:val="26"/>
        </w:rPr>
        <w:footnoteReference w:id="7"/>
      </w:r>
      <w:r>
        <w:rPr>
          <w:rFonts w:cs="Times New Roman"/>
          <w:sz w:val="26"/>
          <w:szCs w:val="26"/>
        </w:rPr>
        <w:t xml:space="preserve"> (ст.54), такое же положение указано в ст.1 ФЗ «Об  основных гарантиях прав ребенка в Российской Федерации»</w:t>
      </w:r>
      <w:r>
        <w:rPr>
          <w:rStyle w:val="a8"/>
          <w:rFonts w:cs="Times New Roman"/>
          <w:sz w:val="26"/>
          <w:szCs w:val="26"/>
        </w:rPr>
        <w:footnoteReference w:id="8"/>
      </w:r>
      <w:r>
        <w:rPr>
          <w:rFonts w:cs="Times New Roman"/>
          <w:sz w:val="26"/>
          <w:szCs w:val="26"/>
        </w:rPr>
        <w:t>, а УПК РФ в ст.420 определяет несовершеннолетних как лиц не д</w:t>
      </w:r>
      <w:r>
        <w:rPr>
          <w:rFonts w:cs="Times New Roman"/>
          <w:sz w:val="26"/>
          <w:szCs w:val="26"/>
        </w:rPr>
        <w:t>остигших возраста 18 лет. Из анализа данных норм следует, что данные понятия обозначают применительно к РФ один и тот же круг лиц, обладающий особыми правами и гарантиями. Однако в ч.2 ст.20 УК РФ законодатель определяет минимальный возраст, с которого мож</w:t>
      </w:r>
      <w:r>
        <w:rPr>
          <w:rFonts w:cs="Times New Roman"/>
          <w:sz w:val="26"/>
          <w:szCs w:val="26"/>
        </w:rPr>
        <w:t>ет наступать уголовная ответственность — 14 лет,</w:t>
      </w:r>
      <w:r>
        <w:rPr>
          <w:rStyle w:val="a8"/>
          <w:rFonts w:cs="Times New Roman"/>
          <w:sz w:val="26"/>
          <w:szCs w:val="26"/>
        </w:rPr>
        <w:footnoteReference w:id="9"/>
      </w:r>
      <w:r>
        <w:rPr>
          <w:rFonts w:cs="Times New Roman"/>
          <w:sz w:val="26"/>
          <w:szCs w:val="26"/>
        </w:rPr>
        <w:t xml:space="preserve"> следовательно, понятие «несовершеннолетний» применяется к кругу лиц, которые могут быть привлечены к участию в допросе в качестве подозреваемого (обвиняемого), в возрастном диапазоне от 14 до 18 лет.</w:t>
      </w:r>
    </w:p>
    <w:p w:rsidR="00000000" w:rsidRDefault="00F71744">
      <w:pPr>
        <w:pStyle w:val="a1"/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Допро</w:t>
      </w:r>
      <w:r>
        <w:rPr>
          <w:rFonts w:cs="Times New Roman"/>
          <w:sz w:val="26"/>
          <w:szCs w:val="26"/>
        </w:rPr>
        <w:t xml:space="preserve">с несовершеннолетнего подозреваемого (обвиняемого) в Российской Федерации как и любое другое следственное действие регламентируется  в соответствии с национальным конституционным и основанном на нем уголовно-процессуальном законодательстве. </w:t>
      </w:r>
      <w:r>
        <w:rPr>
          <w:rFonts w:cs="Times New Roman"/>
          <w:sz w:val="26"/>
          <w:szCs w:val="26"/>
        </w:rPr>
        <w:tab/>
      </w:r>
    </w:p>
    <w:p w:rsidR="00000000" w:rsidRDefault="00F71744">
      <w:pPr>
        <w:pStyle w:val="a1"/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В Конституци</w:t>
      </w:r>
      <w:r>
        <w:rPr>
          <w:rFonts w:cs="Times New Roman"/>
          <w:sz w:val="26"/>
          <w:szCs w:val="26"/>
        </w:rPr>
        <w:t>и РФ закреплены общие положения применимые к лицам, в том числе к несовершеннолетним, которые следует выполнять при проведении предварительного расследования  в общем и допроса в частности, в числе таких - нормы, закрепляющие признание и гарантии прав и св</w:t>
      </w:r>
      <w:r>
        <w:rPr>
          <w:rFonts w:cs="Times New Roman"/>
          <w:sz w:val="26"/>
          <w:szCs w:val="26"/>
        </w:rPr>
        <w:t xml:space="preserve">обод человека и гражданина согласно общепризнанным принципам и нормам международного права (ст.17), равенства перед законом и судом (ст.19), охрану достоинства личности   государством - никто не может быть подвергнут пыткам, насилию или другому унижающему </w:t>
      </w:r>
      <w:r>
        <w:rPr>
          <w:rFonts w:cs="Times New Roman"/>
          <w:sz w:val="26"/>
          <w:szCs w:val="26"/>
        </w:rPr>
        <w:t>человеческое достоинство обращению или наказанию (ст.21), презумпцию невиновности (ст.49), гарантии государственной защиты прав и свобод человека и гражданина (ст.45) и т. д</w:t>
      </w:r>
      <w:r>
        <w:rPr>
          <w:rStyle w:val="a8"/>
          <w:rFonts w:cs="Times New Roman"/>
          <w:sz w:val="26"/>
          <w:szCs w:val="26"/>
        </w:rPr>
        <w:footnoteReference w:id="10"/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</w:p>
    <w:p w:rsidR="00000000" w:rsidRDefault="00F71744">
      <w:pPr>
        <w:pStyle w:val="a1"/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Основным регламентирующим особое положение несовершеннолетних подозреваемых (о</w:t>
      </w:r>
      <w:r>
        <w:rPr>
          <w:rFonts w:cs="Times New Roman"/>
          <w:sz w:val="26"/>
          <w:szCs w:val="26"/>
        </w:rPr>
        <w:t>бвиняемых) при проведении допроса в ходе расследования актом является УПК РФ. Особенности процессуального характера, связанные с участием в допросе несовершеннолетнего, указаны в ст. 425 УПК РФ. Исходя из текста данной статьи можно выделить следующие особе</w:t>
      </w:r>
      <w:r>
        <w:rPr>
          <w:rFonts w:cs="Times New Roman"/>
          <w:sz w:val="26"/>
          <w:szCs w:val="26"/>
        </w:rPr>
        <w:t>нности допроса несовершеннолетнего подозреваемого (обвиняемого):</w:t>
      </w:r>
    </w:p>
    <w:p w:rsidR="00000000" w:rsidRDefault="00F71744">
      <w:pPr>
        <w:pStyle w:val="a1"/>
        <w:numPr>
          <w:ilvl w:val="0"/>
          <w:numId w:val="5"/>
        </w:numPr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длительность допроса не может превышать 4 часов в день и не может продолжаться более 2 часов без перерыва;</w:t>
      </w:r>
    </w:p>
    <w:p w:rsidR="00000000" w:rsidRDefault="00F71744">
      <w:pPr>
        <w:pStyle w:val="a1"/>
        <w:numPr>
          <w:ilvl w:val="0"/>
          <w:numId w:val="5"/>
        </w:numPr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допросе обязательно участвует защитник, который может задавать несовершеннолетнему</w:t>
      </w:r>
      <w:r>
        <w:rPr>
          <w:rFonts w:cs="Times New Roman"/>
          <w:sz w:val="26"/>
          <w:szCs w:val="26"/>
        </w:rPr>
        <w:t xml:space="preserve"> вопросы, знакомиться с протоколом допроса и делать замечания о правильности и полноте, сделанных в нем записей;</w:t>
      </w:r>
    </w:p>
    <w:p w:rsidR="00000000" w:rsidRDefault="00F71744">
      <w:pPr>
        <w:pStyle w:val="a1"/>
        <w:numPr>
          <w:ilvl w:val="0"/>
          <w:numId w:val="5"/>
        </w:numPr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 ходатайству защитника или по собственной инициативе следователь, дознаватель привлекает к допросу несовершеннолетнего педагога или психолога</w:t>
      </w:r>
      <w:r>
        <w:rPr>
          <w:rFonts w:cs="Times New Roman"/>
          <w:sz w:val="26"/>
          <w:szCs w:val="26"/>
        </w:rPr>
        <w:t>;</w:t>
      </w:r>
    </w:p>
    <w:p w:rsidR="00000000" w:rsidRDefault="00F71744">
      <w:pPr>
        <w:pStyle w:val="a1"/>
        <w:numPr>
          <w:ilvl w:val="0"/>
          <w:numId w:val="5"/>
        </w:numPr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Педагог, психолог вправе с разрешения следователя, дознавателя задавать несовершеннолетнему вопросы, знакомится с протоком допроса и делать письменные замечания на его правильность и полноту.</w:t>
      </w:r>
    </w:p>
    <w:p w:rsidR="00000000" w:rsidRDefault="00F71744">
      <w:pPr>
        <w:pStyle w:val="a1"/>
        <w:numPr>
          <w:ilvl w:val="0"/>
          <w:numId w:val="5"/>
        </w:numPr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Участие педагога, психолога обязательно, если подозреваемый не</w:t>
      </w:r>
      <w:r>
        <w:rPr>
          <w:rFonts w:cs="Times New Roman"/>
          <w:sz w:val="26"/>
          <w:szCs w:val="26"/>
        </w:rPr>
        <w:t xml:space="preserve"> достиг 16 лет или достиг данного возраста, но отстает в своем психическом развитии или страдает психическим расстройством;</w:t>
      </w:r>
    </w:p>
    <w:p w:rsidR="00000000" w:rsidRDefault="00F71744">
      <w:pPr>
        <w:pStyle w:val="a1"/>
        <w:numPr>
          <w:ilvl w:val="0"/>
          <w:numId w:val="5"/>
        </w:numPr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порядок применимый к допросу несовершеннолетнего подозреваемого (обвиняемого) применим и к несовершеннолетнему подсудимому.</w:t>
      </w:r>
      <w:r>
        <w:rPr>
          <w:rStyle w:val="a8"/>
          <w:rFonts w:cs="Times New Roman"/>
          <w:sz w:val="26"/>
          <w:szCs w:val="26"/>
        </w:rPr>
        <w:footnoteReference w:id="11"/>
      </w:r>
    </w:p>
    <w:p w:rsidR="00000000" w:rsidRDefault="00F71744">
      <w:pPr>
        <w:pStyle w:val="a1"/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Сравни</w:t>
      </w:r>
      <w:r>
        <w:rPr>
          <w:rFonts w:cs="Times New Roman"/>
          <w:sz w:val="26"/>
          <w:szCs w:val="26"/>
        </w:rPr>
        <w:t>вая процессуальное положение на допросе несовершеннолетнего и лица, достигшего 18 лет становится заметным особое отношение к первому как к субъекту менее защищенному психологически и учету его умственного развития и возрастных особенностей (сокращено вдвое</w:t>
      </w:r>
      <w:r>
        <w:rPr>
          <w:rFonts w:cs="Times New Roman"/>
          <w:sz w:val="26"/>
          <w:szCs w:val="26"/>
        </w:rPr>
        <w:t xml:space="preserve"> время допроса, обязательно участие защитника, а в некоторых случаях и педагога, психолога и т. д.).</w:t>
      </w:r>
    </w:p>
    <w:p w:rsidR="00000000" w:rsidRDefault="00F71744">
      <w:pPr>
        <w:pStyle w:val="a1"/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000000" w:rsidRDefault="00F71744">
      <w:pPr>
        <w:pStyle w:val="a1"/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000000" w:rsidRDefault="00F71744">
      <w:pPr>
        <w:pStyle w:val="a1"/>
        <w:tabs>
          <w:tab w:val="left" w:pos="750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000000" w:rsidRDefault="00F71744">
      <w:pPr>
        <w:pStyle w:val="2"/>
        <w:rPr>
          <w:rFonts w:ascii="Times New Roman" w:hAnsi="Times New Roman" w:cs="Times New Roman"/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7" w:name="__RefHeading__48_1030595168"/>
      <w:bookmarkStart w:id="18" w:name="__RefHeading__3266_1171958822"/>
      <w:bookmarkStart w:id="19" w:name="__RefHeading__817_1171958822"/>
      <w:bookmarkStart w:id="20" w:name="__RefHeading__3215_1070253526"/>
      <w:bookmarkEnd w:id="17"/>
      <w:bookmarkEnd w:id="18"/>
      <w:bookmarkEnd w:id="19"/>
      <w:bookmarkEnd w:id="20"/>
      <w:r>
        <w:rPr>
          <w:rFonts w:ascii="Times New Roman" w:hAnsi="Times New Roman" w:cs="Times New Roman"/>
          <w:sz w:val="26"/>
          <w:szCs w:val="26"/>
        </w:rPr>
        <w:t>3.Тактико-психологические особенности допроса несовершеннолетнего подозреваемого (обвиняемого)</w:t>
      </w:r>
    </w:p>
    <w:p w:rsidR="00000000" w:rsidRDefault="00F71744">
      <w:pPr>
        <w:pStyle w:val="a1"/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Допрос как следственное действие заключается в </w:t>
      </w:r>
      <w:r>
        <w:rPr>
          <w:rFonts w:cs="Times New Roman"/>
          <w:sz w:val="26"/>
          <w:szCs w:val="26"/>
        </w:rPr>
        <w:t>получении от допрашиваемого лица сведений (показаний), то есть информации об обстоятельствах, имеющих значение для уголовного дела.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>Допрос несовершеннолетних имеет свои особенности. Прежде всего различия в порядке проведения допросов несовершеннолетних и</w:t>
      </w:r>
      <w:r>
        <w:rPr>
          <w:rFonts w:cs="Times New Roman"/>
          <w:color w:val="000000"/>
          <w:sz w:val="26"/>
          <w:szCs w:val="26"/>
        </w:rPr>
        <w:t xml:space="preserve"> лиц, достигших 18 лет, определяются возрастным критерием и присущим ему психическим развитием индивида.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>Психологи проводят возрастную периодизацию несовершеннолетних следующим образом:</w:t>
      </w:r>
    </w:p>
    <w:p w:rsidR="00000000" w:rsidRDefault="00F71744">
      <w:pPr>
        <w:pStyle w:val="a1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младенческий возраст (от рождения до одного года);</w:t>
      </w:r>
    </w:p>
    <w:p w:rsidR="00000000" w:rsidRDefault="00F71744">
      <w:pPr>
        <w:pStyle w:val="a1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раннее детство (от</w:t>
      </w:r>
      <w:r>
        <w:rPr>
          <w:rFonts w:cs="Times New Roman"/>
          <w:color w:val="000000"/>
          <w:sz w:val="26"/>
          <w:szCs w:val="26"/>
        </w:rPr>
        <w:t xml:space="preserve"> года до трех лет);</w:t>
      </w:r>
    </w:p>
    <w:p w:rsidR="00000000" w:rsidRDefault="00F71744">
      <w:pPr>
        <w:pStyle w:val="a1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дошкольный возраст (от трех до шести-семи лет);</w:t>
      </w:r>
    </w:p>
    <w:p w:rsidR="00000000" w:rsidRDefault="00F71744">
      <w:pPr>
        <w:pStyle w:val="a1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младший школьный возраст (от шести-семи до 11–12 лет);</w:t>
      </w:r>
    </w:p>
    <w:p w:rsidR="00000000" w:rsidRDefault="00F71744">
      <w:pPr>
        <w:pStyle w:val="a1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подростковый возраст (от 11–12 лет до 14–15 лет);</w:t>
      </w:r>
    </w:p>
    <w:p w:rsidR="00000000" w:rsidRDefault="00F71744">
      <w:pPr>
        <w:pStyle w:val="a1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ранний юношеский возраст (от 14–15 лет до 17–18 лет).</w:t>
      </w:r>
    </w:p>
    <w:p w:rsidR="00000000" w:rsidRDefault="00F71744">
      <w:pPr>
        <w:pStyle w:val="a1"/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 xml:space="preserve">Каждому возрастному периоду </w:t>
      </w:r>
      <w:r>
        <w:rPr>
          <w:rFonts w:cs="Times New Roman"/>
          <w:color w:val="000000"/>
          <w:sz w:val="26"/>
          <w:szCs w:val="26"/>
        </w:rPr>
        <w:t>развития несовершеннолетнего присущи свой круг общения, различные виды ведущих потребностей, ценностные ориентации. Исходя из приведенной периодизации видно, что из всех групп несовершеннолетних автора данной работы интересуют только 2 последние группы, ко</w:t>
      </w:r>
      <w:r>
        <w:rPr>
          <w:rFonts w:cs="Times New Roman"/>
          <w:color w:val="000000"/>
          <w:sz w:val="26"/>
          <w:szCs w:val="26"/>
        </w:rPr>
        <w:t>торые могут привлекаться в качестве подозреваемого (обвиняемого) по уголовному делу, и поведение которых во время допроса в качестве подозреваемого (обвиняемого), также как и в любом другом процессуальном статусе, будет определяться интеллектуальными и  пс</w:t>
      </w:r>
      <w:r>
        <w:rPr>
          <w:rFonts w:cs="Times New Roman"/>
          <w:color w:val="000000"/>
          <w:sz w:val="26"/>
          <w:szCs w:val="26"/>
        </w:rPr>
        <w:t>ихическими особенностями развития, присущими их возрастной категории.</w:t>
      </w:r>
    </w:p>
    <w:p w:rsidR="00000000" w:rsidRDefault="00F71744">
      <w:pPr>
        <w:pStyle w:val="a1"/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 xml:space="preserve">Допрос несовершеннолетнего подозреваемого (обвиняемого) проходит те же стадии, что и допрос лица, достигшего 18 лет. Однако каждая стадия допроса проходит с некоторыми отступлениями от </w:t>
      </w:r>
      <w:r>
        <w:rPr>
          <w:rFonts w:cs="Times New Roman"/>
          <w:color w:val="000000"/>
          <w:sz w:val="26"/>
          <w:szCs w:val="26"/>
        </w:rPr>
        <w:t xml:space="preserve">обычного порядка. </w:t>
      </w:r>
      <w:r>
        <w:rPr>
          <w:rFonts w:cs="Times New Roman"/>
          <w:color w:val="000000"/>
          <w:sz w:val="26"/>
          <w:szCs w:val="26"/>
        </w:rPr>
        <w:tab/>
        <w:t xml:space="preserve">Вследствие этого далее рассмотрим некоторые общие для применения в отношении несовершеннолетних, не страдающих какими-либо психическими заболеваниями или не имеющими каких-либо психических отклонений, тактико-психологические особенности </w:t>
      </w:r>
      <w:r>
        <w:rPr>
          <w:rFonts w:cs="Times New Roman"/>
          <w:color w:val="000000"/>
          <w:sz w:val="26"/>
          <w:szCs w:val="26"/>
        </w:rPr>
        <w:t xml:space="preserve">производства допроса по стадиям, отличающие данное следственное действие от общего порядка допроса. </w:t>
      </w:r>
      <w:r>
        <w:rPr>
          <w:rFonts w:cs="Times New Roman"/>
          <w:color w:val="000000"/>
          <w:sz w:val="26"/>
          <w:szCs w:val="26"/>
        </w:rPr>
        <w:tab/>
      </w:r>
    </w:p>
    <w:p w:rsidR="00000000" w:rsidRDefault="00F71744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21" w:name="__RefHeading__50_1030595168"/>
      <w:bookmarkStart w:id="22" w:name="__RefHeading__3223_1070253526"/>
      <w:bookmarkEnd w:id="21"/>
      <w:bookmarkEnd w:id="22"/>
      <w:r>
        <w:rPr>
          <w:rFonts w:ascii="Times New Roman" w:hAnsi="Times New Roman" w:cs="Times New Roman"/>
          <w:i w:val="0"/>
          <w:iCs w:val="0"/>
          <w:sz w:val="26"/>
          <w:szCs w:val="26"/>
        </w:rPr>
        <w:t>3.1.Подготовительная стадия</w:t>
      </w:r>
    </w:p>
    <w:p w:rsidR="00000000" w:rsidRDefault="00F71744">
      <w:pPr>
        <w:pStyle w:val="a1"/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Подготовительная стадия допроса несовершеннолетнего подозреваемого (обвиняемого) включает в себя стандартный набор действий: </w:t>
      </w:r>
      <w:r>
        <w:rPr>
          <w:rFonts w:cs="Times New Roman"/>
          <w:sz w:val="26"/>
          <w:szCs w:val="26"/>
        </w:rPr>
        <w:t>установление личности допрашиваемого несовершеннолетнего, заполнение анкетной части протокола, разъяснение прав и обязанностей допрашиваемому и лицам присутствующим на допросе, а также наиболее из всех действий — установление психологического контакта с не</w:t>
      </w:r>
      <w:r>
        <w:rPr>
          <w:rFonts w:cs="Times New Roman"/>
          <w:sz w:val="26"/>
          <w:szCs w:val="26"/>
        </w:rPr>
        <w:t>совершеннолетним.</w:t>
      </w:r>
    </w:p>
    <w:p w:rsidR="00000000" w:rsidRDefault="00F71744">
      <w:pPr>
        <w:pStyle w:val="a1"/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>Однако приемы и методы достижения такого психологического контакта несколько отличны от приемов и методов по достижению психологического контакта со взрослым лицом. Как отмечает Лифанова М.В. -  н</w:t>
      </w:r>
      <w:r>
        <w:rPr>
          <w:rFonts w:cs="Times New Roman"/>
          <w:color w:val="000000"/>
          <w:sz w:val="26"/>
          <w:szCs w:val="26"/>
        </w:rPr>
        <w:t>есовершеннолетние уступают взрослым в спо</w:t>
      </w:r>
      <w:r>
        <w:rPr>
          <w:rFonts w:cs="Times New Roman"/>
          <w:color w:val="000000"/>
          <w:sz w:val="26"/>
          <w:szCs w:val="26"/>
        </w:rPr>
        <w:t>собности осознавать событие в целом, не всегда могут выделить главное, обращая внимание лишь на те факты, которые им интересны или произвели сильное впечатление. Они чаще взрослых ошибаются при определении расстояний, последовательности действий и событий;</w:t>
      </w:r>
      <w:r>
        <w:rPr>
          <w:rFonts w:cs="Times New Roman"/>
          <w:color w:val="000000"/>
          <w:sz w:val="26"/>
          <w:szCs w:val="26"/>
        </w:rPr>
        <w:t xml:space="preserve"> быстрее забывают воспринятые события. Обладают повышенной эмоциональной возбудимостью и неуравновешенностью, им присущи быстрые смены настроения и поведенческих реакций. При этом степень выраженности указанных особенностей носит индивидуальный характер и </w:t>
      </w:r>
      <w:r>
        <w:rPr>
          <w:rFonts w:cs="Times New Roman"/>
          <w:color w:val="000000"/>
          <w:sz w:val="26"/>
          <w:szCs w:val="26"/>
        </w:rPr>
        <w:t>определяется условиями развития и воспитания подростка.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Style w:val="a8"/>
          <w:rFonts w:cs="Times New Roman"/>
          <w:color w:val="000000"/>
          <w:sz w:val="26"/>
          <w:szCs w:val="26"/>
        </w:rPr>
        <w:footnoteReference w:id="12"/>
      </w:r>
      <w:r>
        <w:rPr>
          <w:rFonts w:cs="Times New Roman"/>
          <w:color w:val="000000"/>
          <w:sz w:val="26"/>
          <w:szCs w:val="26"/>
        </w:rPr>
        <w:t xml:space="preserve"> </w:t>
      </w:r>
    </w:p>
    <w:p w:rsidR="00000000" w:rsidRDefault="00F71744">
      <w:pPr>
        <w:pStyle w:val="a1"/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>Исходя из вышеизложенного следователями и психологами были выработаны некоторые приемы работы с несовершеннолетними подозреваемыми (обвиняемыми). Во-первых, проводить допрос несовершеннолетнего от</w:t>
      </w:r>
      <w:r>
        <w:rPr>
          <w:rFonts w:cs="Times New Roman"/>
          <w:color w:val="000000"/>
          <w:sz w:val="26"/>
          <w:szCs w:val="26"/>
        </w:rPr>
        <w:t xml:space="preserve"> 14 до 18 лет лучше в официальной обстановке, чтобы создать у допрашиваемого чувство ответственности за свои действия и сказанные в дальнейшем ходе допроса  сведения. Данное положение прежде всего связано с тем, что, приближаясь к порогу совершеннолетия, о</w:t>
      </w:r>
      <w:r>
        <w:rPr>
          <w:rFonts w:cs="Times New Roman"/>
          <w:color w:val="000000"/>
          <w:sz w:val="26"/>
          <w:szCs w:val="26"/>
        </w:rPr>
        <w:t>тличия в психике несовершеннолетнего и лица, достигшего 18 лет становятся менее заметны, такие подростки уже в состоянии адекватно оценивать общественную опасность в общем своих и чужих поступков, их мышление более структурировано и логично, и склонность к</w:t>
      </w:r>
      <w:r>
        <w:rPr>
          <w:rFonts w:cs="Times New Roman"/>
          <w:color w:val="000000"/>
          <w:sz w:val="26"/>
          <w:szCs w:val="26"/>
        </w:rPr>
        <w:t xml:space="preserve"> воображению начинает вытеснятся склонностью к запоминанию каких-либо событий и действий.  Во-вторых, следователь, дознаватель на допросе должен держаться уверенно, спокойно и дружелюбно. Это позволит установить между сторонами доверие и уважение. Нервозно</w:t>
      </w:r>
      <w:r>
        <w:rPr>
          <w:rFonts w:cs="Times New Roman"/>
          <w:color w:val="000000"/>
          <w:sz w:val="26"/>
          <w:szCs w:val="26"/>
        </w:rPr>
        <w:t>сть следователя, дознавателя с большей вероятностью, чем при допросе взрослого, приведет к потере всякого желания со стороны несовершеннолетнего идти на контакт, ожесточению или еще большему разгоранию «духа бунтарства» и желанию войти в противоречие с мне</w:t>
      </w:r>
      <w:r>
        <w:rPr>
          <w:rFonts w:cs="Times New Roman"/>
          <w:color w:val="000000"/>
          <w:sz w:val="26"/>
          <w:szCs w:val="26"/>
        </w:rPr>
        <w:t>нием взрослых о том, как для конкретного подростка будет лучше. В-третьих, следователю при допросе несовершеннолетнего подозреваемого (обвиняемого) для наиболее эффективного установления психологического контакта следует применять специальные приемы, котор</w:t>
      </w:r>
      <w:r>
        <w:rPr>
          <w:rFonts w:cs="Times New Roman"/>
          <w:color w:val="000000"/>
          <w:sz w:val="26"/>
          <w:szCs w:val="26"/>
        </w:rPr>
        <w:t>ые имеют большее влияние на представителя указанной категории лиц, нежели приемы обычно применяемые при допросе совершеннолетних. К таким приемам относятся:</w:t>
      </w:r>
    </w:p>
    <w:p w:rsidR="00000000" w:rsidRDefault="00F71744">
      <w:pPr>
        <w:pStyle w:val="a1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Правило «накопления внимания». Целесообразно начинать разговор с тем, к которым несовершеннолетний </w:t>
      </w:r>
      <w:r>
        <w:rPr>
          <w:rFonts w:cs="Times New Roman"/>
          <w:color w:val="000000"/>
          <w:sz w:val="26"/>
          <w:szCs w:val="26"/>
        </w:rPr>
        <w:t>относится позитивно и может дать положительный ответ. Тактика применения данного приема заключается в том, чтобы начать допрос с «нейтральных», не вызывающих тревоги у допрашиваемого, вопросов, а затем перейти к более сложным относящимся к сути дела;</w:t>
      </w:r>
    </w:p>
    <w:p w:rsidR="00000000" w:rsidRDefault="00F71744">
      <w:pPr>
        <w:pStyle w:val="a1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Демон</w:t>
      </w:r>
      <w:r>
        <w:rPr>
          <w:rFonts w:cs="Times New Roman"/>
          <w:color w:val="000000"/>
          <w:sz w:val="26"/>
          <w:szCs w:val="26"/>
        </w:rPr>
        <w:t xml:space="preserve">страция общности взглядов, оценок, интересов по некоторым вопросам. Подчеркивание какой-либо идентичности между следователем, дознавателем и несовершеннолетним является сближающим фактором положительно действующим на желание несовершеннолетнего установить </w:t>
      </w:r>
      <w:r>
        <w:rPr>
          <w:rFonts w:cs="Times New Roman"/>
          <w:color w:val="000000"/>
          <w:sz w:val="26"/>
          <w:szCs w:val="26"/>
        </w:rPr>
        <w:t>контакт;</w:t>
      </w:r>
    </w:p>
    <w:p w:rsidR="00000000" w:rsidRDefault="00F71744">
      <w:pPr>
        <w:pStyle w:val="a1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Прием «психологическое поглаживание». Признание следователем, дознавателем положительных качеств личности допрашиваемого несовершеннолетнего, разумности его суждений, наличия правоты в его позиции, успокаивает несовершеннолетнего, повышает его уве</w:t>
      </w:r>
      <w:r>
        <w:rPr>
          <w:rFonts w:cs="Times New Roman"/>
          <w:color w:val="000000"/>
          <w:sz w:val="26"/>
          <w:szCs w:val="26"/>
        </w:rPr>
        <w:t>ренность, формирует представление о дружелюбном к нему обращении равного с равным, а не покровительственного и властного подчиняющего и подчиненного, что является особенно важным для в свете очень трепетного отношения несовершеннолетних к своему самоутверж</w:t>
      </w:r>
      <w:r>
        <w:rPr>
          <w:rFonts w:cs="Times New Roman"/>
          <w:color w:val="000000"/>
          <w:sz w:val="26"/>
          <w:szCs w:val="26"/>
        </w:rPr>
        <w:t>дению и желанию о восприятии их окружающими в качестве «взрослых».</w:t>
      </w:r>
    </w:p>
    <w:p w:rsidR="00000000" w:rsidRDefault="00F71744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23" w:name="__RefHeading__52_1030595168"/>
      <w:bookmarkStart w:id="24" w:name="__RefHeading__3270_1171958822"/>
      <w:bookmarkStart w:id="25" w:name="__RefHeading__821_1171958822"/>
      <w:bookmarkStart w:id="26" w:name="__RefHeading__3217_1070253526"/>
      <w:bookmarkEnd w:id="23"/>
      <w:bookmarkEnd w:id="24"/>
      <w:bookmarkEnd w:id="25"/>
      <w:bookmarkEnd w:id="26"/>
      <w:r>
        <w:rPr>
          <w:rFonts w:ascii="Times New Roman" w:hAnsi="Times New Roman" w:cs="Times New Roman"/>
          <w:i w:val="0"/>
          <w:iCs w:val="0"/>
          <w:sz w:val="26"/>
          <w:szCs w:val="26"/>
        </w:rPr>
        <w:t>3.2.Стадия свободного рассказа и стадия постановки вопросов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Исходя из перечисленных ранее психических особенностей свободный рассказ несовершеннолетнего подозреваемого (обвиняемого) чаще в</w:t>
      </w:r>
      <w:r>
        <w:rPr>
          <w:rFonts w:cs="Times New Roman"/>
          <w:sz w:val="26"/>
          <w:szCs w:val="26"/>
        </w:rPr>
        <w:t>сего отрывочен, сбивчив и непоследователен. Поэтому следователь, дознаватель с максимальной осторожностью должен направлять его, при этом не оказывая давления и не приводя рассказ несовершеннолетнего к удобным для самого следователя, дознавателя сведениям.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В соответствии со сведениями, полученными на стадии свободного рассказа следователь, дознаватель определяет содержание и направленность вопросов на стадии их постановки. Если допрашиваемый дал правдивые, но не полные показания, ему задаются уточняющие во</w:t>
      </w:r>
      <w:r>
        <w:rPr>
          <w:rFonts w:cs="Times New Roman"/>
          <w:sz w:val="26"/>
          <w:szCs w:val="26"/>
        </w:rPr>
        <w:t>просы. При этом вследствие «выборочного» запоминания несовершеннолетним существует возможность так и не заполнить пробелы в его показаниях, однако слишком настойчиво пытаться их заполнить также не целесообразно, так как такие недостающие факты с большей ве</w:t>
      </w:r>
      <w:r>
        <w:rPr>
          <w:rFonts w:cs="Times New Roman"/>
          <w:sz w:val="26"/>
          <w:szCs w:val="26"/>
        </w:rPr>
        <w:t>роятностью окажутся вымышленными, нежели правдивыми.</w:t>
      </w:r>
      <w:r>
        <w:rPr>
          <w:rFonts w:cs="Times New Roman"/>
          <w:sz w:val="26"/>
          <w:szCs w:val="26"/>
        </w:rPr>
        <w:tab/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При постановке вопросов необходимо убедиться в том, что несовершеннолетний понимает их суть. Если вопрос в его изначальном варианте оказался непонятен, то следует его разделить на несколько более конкр</w:t>
      </w:r>
      <w:r>
        <w:rPr>
          <w:rFonts w:cs="Times New Roman"/>
          <w:sz w:val="26"/>
          <w:szCs w:val="26"/>
        </w:rPr>
        <w:t xml:space="preserve">етных и простых.  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Так же  следует уделять внимание и гендерной принадлежности несовершеннолетнего подозреваемого (обвиняемого). Так, юноши обладают большей концентрацией, наблюдательностью, развитым общим интеллектом и лучше ориентируются в пространстве.</w:t>
      </w:r>
      <w:r>
        <w:rPr>
          <w:rFonts w:cs="Times New Roman"/>
          <w:sz w:val="26"/>
          <w:szCs w:val="26"/>
        </w:rPr>
        <w:t xml:space="preserve"> При этом у них менее развито вербальное общение, чем у девушек. Поэтому при проведении допроса в отношение указанной категории лиц следует четко формулировать вопросы и проявлять спокойное внимание в время ответов на них.  Показания «мужской половины» обы</w:t>
      </w:r>
      <w:r>
        <w:rPr>
          <w:rFonts w:cs="Times New Roman"/>
          <w:sz w:val="26"/>
          <w:szCs w:val="26"/>
        </w:rPr>
        <w:t>чно точнее, так как они обычно более объективны и в основном опираются на реальные факты.  У девушек более развиты вербальные способности, и вследствие этого они не склонны к точности передаваемых сведений, используя как часть речи мимику, интонации, жесты</w:t>
      </w:r>
      <w:r>
        <w:rPr>
          <w:rFonts w:cs="Times New Roman"/>
          <w:sz w:val="26"/>
          <w:szCs w:val="26"/>
        </w:rPr>
        <w:t>, всевозможные намеки и преувеличения, эмоции. Им необходима поддержка их позиции, поэтому в данном случае эффективнее использовать «активное слушание», при том учитывая их впечатлительность и субъективность, однако девушки обладают большей чувствительност</w:t>
      </w:r>
      <w:r>
        <w:rPr>
          <w:rFonts w:cs="Times New Roman"/>
          <w:sz w:val="26"/>
          <w:szCs w:val="26"/>
        </w:rPr>
        <w:t>ью, более развитым периферическим зрением  и способностью делать несколько дел одновременно, что позволяет им воспринимать окружающую обстановку в целом в момент совершения преступления.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Все выделенные особенности оказывают наиболее эффективную помощь сле</w:t>
      </w:r>
      <w:r>
        <w:rPr>
          <w:rFonts w:cs="Times New Roman"/>
          <w:sz w:val="26"/>
          <w:szCs w:val="26"/>
        </w:rPr>
        <w:t>дователю, дознавателю в получении правдивых показаний от несовершеннолетнего подозреваемого (обвиняемого) если применяются в совокупности с учетом индивидуально-психологических особенностей конкретного несовершеннолетнего.</w:t>
      </w:r>
    </w:p>
    <w:p w:rsidR="00000000" w:rsidRDefault="00F71744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27" w:name="__RefHeading__54_1030595168"/>
      <w:bookmarkStart w:id="28" w:name="__RefHeading__3225_1070253526"/>
      <w:bookmarkEnd w:id="27"/>
      <w:bookmarkEnd w:id="28"/>
      <w:r>
        <w:rPr>
          <w:rFonts w:ascii="Times New Roman" w:hAnsi="Times New Roman" w:cs="Times New Roman"/>
          <w:i w:val="0"/>
          <w:iCs w:val="0"/>
          <w:sz w:val="26"/>
          <w:szCs w:val="26"/>
        </w:rPr>
        <w:t>3.3.Стадия фиксации хода и резуль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татов допроса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Особенность данной стадии допроса несовершеннолетнего подозреваемого (обвиняемого) заключается в том, что составление протокола одновременно с устным рассказом несовершеннолетнего отвлекает и настораживает его, поэтому результаты фиксируются</w:t>
      </w:r>
      <w:r>
        <w:rPr>
          <w:rFonts w:cs="Times New Roman"/>
          <w:sz w:val="26"/>
          <w:szCs w:val="26"/>
        </w:rPr>
        <w:t xml:space="preserve"> после устного рассказа. 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При составлении протокола желательно сохранить признаки речи, присущие конкретному допрашиваемому несовершеннолетнему. Исходя из этого целесообразнее делать дословные записи, сохраняя лексическое, семантическое и иное  своеобрази</w:t>
      </w:r>
      <w:r>
        <w:rPr>
          <w:rFonts w:cs="Times New Roman"/>
          <w:sz w:val="26"/>
          <w:szCs w:val="26"/>
        </w:rPr>
        <w:t>е речи подростка.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ab/>
        <w:t>Применение во время допроса аудио- и видеозаписей помогает сохранить наиболее точно индивидуальные речевые особенности несовершеннолетнего. Использование технических средств при производстве допроса заставляет несовершеннолетних строже о</w:t>
      </w:r>
      <w:r>
        <w:rPr>
          <w:rFonts w:cs="Times New Roman"/>
          <w:sz w:val="26"/>
          <w:szCs w:val="26"/>
        </w:rPr>
        <w:t>тносится к собственному поведению и достоверности рассказываемых сведений. Так же при таком способе фиксации показаний несовершеннолетние реже изменяют свои показания, неспособные противоречить собственным звучащим словам.</w:t>
      </w:r>
    </w:p>
    <w:p w:rsidR="00000000" w:rsidRDefault="00F71744">
      <w:pPr>
        <w:pStyle w:val="a1"/>
        <w:spacing w:after="0" w:line="360" w:lineRule="auto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>Еще одной особенностью данной ст</w:t>
      </w:r>
      <w:r>
        <w:rPr>
          <w:rFonts w:cs="Times New Roman"/>
          <w:color w:val="000000"/>
          <w:sz w:val="26"/>
          <w:szCs w:val="26"/>
        </w:rPr>
        <w:t>адии допроса несовершеннолетнего подозреваемого (обвиняемого) является расширенный круг лиц, имеющих право ознакомится с протоколом допроса и делать замечания о его полноте и правильности. К таковым относятся, помимо допрашиваемого несовершеннолетнего, защ</w:t>
      </w:r>
      <w:r>
        <w:rPr>
          <w:rFonts w:cs="Times New Roman"/>
          <w:color w:val="000000"/>
          <w:sz w:val="26"/>
          <w:szCs w:val="26"/>
        </w:rPr>
        <w:t>итник несовершеннолетнего (ч.2 ст.425 УПК РФ),  педагог или психолог, участвующий в допросе (ч.5 ст.425 ПК РФ), а так же законные представители несовершеннолетнего, которые принимали участие в его допросе (п.4 ч.2 ст.426УПК РФ).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1"/>
        <w:spacing w:line="360" w:lineRule="auto"/>
        <w:jc w:val="center"/>
        <w:rPr>
          <w:sz w:val="26"/>
          <w:szCs w:val="26"/>
        </w:rPr>
      </w:pPr>
      <w:bookmarkStart w:id="29" w:name="__RefHeading__56_1030595168"/>
      <w:bookmarkStart w:id="30" w:name="__RefHeading__3276_1171958822"/>
      <w:bookmarkStart w:id="31" w:name="__RefHeading__827_1171958822"/>
      <w:bookmarkStart w:id="32" w:name="__RefHeading__3219_1070253526"/>
      <w:bookmarkEnd w:id="29"/>
      <w:bookmarkEnd w:id="30"/>
      <w:bookmarkEnd w:id="31"/>
      <w:bookmarkEnd w:id="32"/>
      <w:r>
        <w:rPr>
          <w:rFonts w:ascii="Times New Roman" w:hAnsi="Times New Roman" w:cs="Times New Roman"/>
          <w:sz w:val="26"/>
          <w:szCs w:val="26"/>
        </w:rPr>
        <w:t>4.Проблемы, связан</w:t>
      </w:r>
      <w:r>
        <w:rPr>
          <w:rFonts w:ascii="Times New Roman" w:hAnsi="Times New Roman" w:cs="Times New Roman"/>
          <w:sz w:val="26"/>
          <w:szCs w:val="26"/>
        </w:rPr>
        <w:t>ные с привлечением к допросу несовершеннолетнего подозреваемого (обвиняемого) иных участников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Под иными участниками понимаются указанные в ст.425 УПК РФ педагог, психолог и законные представители. 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Первая проблема связана с предусмотренной ч.3 ст.425 УПК</w:t>
      </w:r>
      <w:r>
        <w:rPr>
          <w:sz w:val="26"/>
          <w:szCs w:val="26"/>
        </w:rPr>
        <w:t xml:space="preserve"> РФ возможностью участвовать в допросе несовершеннолетнего подозреваемого (обвиняемого)  педагога или психолога. 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ab/>
        <w:t>Данная проблема имеет несколько аспектов: первый — как разграничить случаи привлечения педагога от случает привлечения психолога; второй — це</w:t>
      </w:r>
      <w:r>
        <w:rPr>
          <w:sz w:val="26"/>
          <w:szCs w:val="26"/>
        </w:rPr>
        <w:t>лесообразность участия педагога в связи с имеющимися у него специальными знаниями; третий — возрастное ограничение несовершеннолетнего, к допросу которого может быть привлечен педагог или психолог; четвертый — отсутствие четко определенного процессуального</w:t>
      </w:r>
      <w:r>
        <w:rPr>
          <w:sz w:val="26"/>
          <w:szCs w:val="26"/>
        </w:rPr>
        <w:t xml:space="preserve"> статуса педагога или психолога. 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 xml:space="preserve">Первый аспект связан с формулировкой нормы ст.425 УПК РФ, в которой указаны случаи привлечения к проведению допроса, указанных выше специалистов и при этом дается альтернатива их привлечения без закрепления за конкретным </w:t>
      </w:r>
      <w:r>
        <w:rPr>
          <w:rFonts w:cs="Times New Roman"/>
          <w:color w:val="000000"/>
          <w:sz w:val="26"/>
          <w:szCs w:val="26"/>
        </w:rPr>
        <w:t>случаем конкретного вида специалиста. Следовательно, в каждом конкретном случае приглашение педагога или психолога остается на усмотрение следователя, дознавателя. С пробелом в законодательстве связан и четвертый аспект проблемы. УПК РФ вводит нового участ</w:t>
      </w:r>
      <w:r>
        <w:rPr>
          <w:rFonts w:cs="Times New Roman"/>
          <w:color w:val="000000"/>
          <w:sz w:val="26"/>
          <w:szCs w:val="26"/>
        </w:rPr>
        <w:t>ника допроса, который обычно даже не знаком с нормами УПК, но при этом не регламентирует достаточно полно его статус, права и обязанности, оставляя их также на усмотрение следователя.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>Второй аспект связан с тем, что несмотря на то, что педагог имеет опред</w:t>
      </w:r>
      <w:r>
        <w:rPr>
          <w:rFonts w:cs="Times New Roman"/>
          <w:color w:val="000000"/>
          <w:sz w:val="26"/>
          <w:szCs w:val="26"/>
        </w:rPr>
        <w:t xml:space="preserve">еленные специальные знания, они не достаточно глубоки, чтобы для обеспечения полноты допроса несовершеннолетних, страдающих психическими расстройствами или отстающими в психическом развитии. В то время как психолог обладает достаточными знаниями в области </w:t>
      </w:r>
      <w:r>
        <w:rPr>
          <w:rFonts w:cs="Times New Roman"/>
          <w:color w:val="000000"/>
          <w:sz w:val="26"/>
          <w:szCs w:val="26"/>
        </w:rPr>
        <w:t>детской психологии, чтобы помочь, и здоровому в психическом отношении несовершеннолетнему, и имеющему некое психическое отставание или расстройство. Данный вопрос вызывает множество дискуссий. Так, И.И.Мамайчук отмечает, что функцию педагога при участии ег</w:t>
      </w:r>
      <w:r>
        <w:rPr>
          <w:rFonts w:cs="Times New Roman"/>
          <w:color w:val="000000"/>
          <w:sz w:val="26"/>
          <w:szCs w:val="26"/>
        </w:rPr>
        <w:t>о в допросе несовершеннолетнего «может более спешно осуществить детский психолог как специалист, обладающий научными знаниями в области психологии детей и подростков».</w:t>
      </w:r>
      <w:r>
        <w:rPr>
          <w:rStyle w:val="a8"/>
          <w:rFonts w:cs="Times New Roman"/>
          <w:color w:val="000000"/>
          <w:sz w:val="26"/>
          <w:szCs w:val="26"/>
        </w:rPr>
        <w:footnoteReference w:id="13"/>
      </w:r>
      <w:r>
        <w:rPr>
          <w:rFonts w:cs="Times New Roman"/>
          <w:color w:val="000000"/>
          <w:sz w:val="26"/>
          <w:szCs w:val="26"/>
        </w:rPr>
        <w:t xml:space="preserve"> А.Н.Попов придерживается мнения  о том, что педагога необходимо исключить из списка спе</w:t>
      </w:r>
      <w:r>
        <w:rPr>
          <w:rFonts w:cs="Times New Roman"/>
          <w:color w:val="000000"/>
          <w:sz w:val="26"/>
          <w:szCs w:val="26"/>
        </w:rPr>
        <w:t>циалистов, участие которых обязательно</w:t>
      </w:r>
      <w:r>
        <w:rPr>
          <w:rStyle w:val="a8"/>
          <w:rFonts w:cs="Times New Roman"/>
          <w:color w:val="000000"/>
          <w:sz w:val="26"/>
          <w:szCs w:val="26"/>
        </w:rPr>
        <w:footnoteReference w:id="14"/>
      </w:r>
      <w:r>
        <w:rPr>
          <w:rFonts w:cs="Times New Roman"/>
          <w:color w:val="000000"/>
          <w:sz w:val="26"/>
          <w:szCs w:val="26"/>
        </w:rPr>
        <w:t>, а, например, С.В.Тетюев отмечает, что при необходимости следователю должна быть предоставлена возможность пользоваться помощью и того, и другого сведущего лица</w:t>
      </w:r>
      <w:r>
        <w:rPr>
          <w:rStyle w:val="a8"/>
          <w:rFonts w:cs="Times New Roman"/>
          <w:color w:val="000000"/>
          <w:sz w:val="26"/>
          <w:szCs w:val="26"/>
        </w:rPr>
        <w:footnoteReference w:id="15"/>
      </w:r>
      <w:r>
        <w:rPr>
          <w:rFonts w:cs="Times New Roman"/>
          <w:color w:val="000000"/>
          <w:sz w:val="26"/>
          <w:szCs w:val="26"/>
        </w:rPr>
        <w:t>. По-моему мнению, нельзя исключать педагога из числа о</w:t>
      </w:r>
      <w:r>
        <w:rPr>
          <w:rFonts w:cs="Times New Roman"/>
          <w:color w:val="000000"/>
          <w:sz w:val="26"/>
          <w:szCs w:val="26"/>
        </w:rPr>
        <w:t>бязательных участников допроса несовершеннолетнего подозреваемого обвиняемого, так как, во-первых, нельзя с уверенностью сказать о том, что  каждом отделении полиции в России, в котором будет расследоваться дело в отношении несовершеннолетнего преступника,</w:t>
      </w:r>
      <w:r>
        <w:rPr>
          <w:rFonts w:cs="Times New Roman"/>
          <w:color w:val="000000"/>
          <w:sz w:val="26"/>
          <w:szCs w:val="26"/>
        </w:rPr>
        <w:t xml:space="preserve"> или близко расположенных организациях найдется хоть один психолог специализирующийся на детской психике, заявлять о том, что в современной России в каждой школе есть компетентный психолог еще рано. Во-вторых, отмечая не количество, а качество можно утверж</w:t>
      </w:r>
      <w:r>
        <w:rPr>
          <w:rFonts w:cs="Times New Roman"/>
          <w:color w:val="000000"/>
          <w:sz w:val="26"/>
          <w:szCs w:val="26"/>
        </w:rPr>
        <w:t>дать, что во многих учреждениях, в которых должность штатного детского психолога занимает зачастую, особенно в тех же самых школах, один из педагогов максимум прошедший курсы повышения квалификации, в которые входил какой-либо предмет о детской психологии,</w:t>
      </w:r>
      <w:r>
        <w:rPr>
          <w:rFonts w:cs="Times New Roman"/>
          <w:color w:val="000000"/>
          <w:sz w:val="26"/>
          <w:szCs w:val="26"/>
        </w:rPr>
        <w:t xml:space="preserve"> следовательно, считать такого человека настоящим психологом не представляется возможным.  </w:t>
      </w:r>
    </w:p>
    <w:p w:rsidR="00000000" w:rsidRDefault="00F71744">
      <w:pPr>
        <w:pStyle w:val="a1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>Третий аспект проблемы связан с непонятным ограничением прав здоровых подростков, достигших 16 лет. В таком случае законодатель не предусматривает обязательного уч</w:t>
      </w:r>
      <w:r>
        <w:rPr>
          <w:rFonts w:cs="Times New Roman"/>
          <w:color w:val="000000"/>
          <w:sz w:val="26"/>
          <w:szCs w:val="26"/>
        </w:rPr>
        <w:t>астия педагога или психолога в допросе лица от 16 до 18 лет. Если исходить из анализа международного и российского законодательства дети равны в своих правах и их гарантиях, в том числе и особенных, закрепленных только за ними. Психологическая периодизация</w:t>
      </w:r>
      <w:r>
        <w:rPr>
          <w:rFonts w:cs="Times New Roman"/>
          <w:color w:val="000000"/>
          <w:sz w:val="26"/>
          <w:szCs w:val="26"/>
        </w:rPr>
        <w:t xml:space="preserve"> возрастов несовершеннолетних, в соответствии с которой, чем ближе находится лицо к 18-летнему порогу, тем меньше остается отличий у него от взрослого лица, не имеет юридического значения. В связи с этим в ч.3 ст.425 ПК РФ закреплена норма, которая ущемляе</w:t>
      </w:r>
      <w:r>
        <w:rPr>
          <w:rFonts w:cs="Times New Roman"/>
          <w:color w:val="000000"/>
          <w:sz w:val="26"/>
          <w:szCs w:val="26"/>
        </w:rPr>
        <w:t>т права несовершеннолетних, достигших 16 лет и не имеющих психического отставания в развитии или психического расстройства.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>Не меньшую озабоченность вызывает и вторая проблема — участие в допросе несовершеннолетнего подозреваемого (обвиняемого) его законн</w:t>
      </w:r>
      <w:r>
        <w:rPr>
          <w:rFonts w:cs="Times New Roman"/>
          <w:color w:val="000000"/>
          <w:sz w:val="26"/>
          <w:szCs w:val="26"/>
        </w:rPr>
        <w:t>ых представителей. Данный вид участников по УПК РФ является обязательным при допросе несовершеннолетнего подозреваемого (обвиняемого). Многолетняя практика показывает, что в присутствии законных представителей несовершеннолетний часто испытывает дискомфорт</w:t>
      </w:r>
      <w:r>
        <w:rPr>
          <w:rFonts w:cs="Times New Roman"/>
          <w:color w:val="000000"/>
          <w:sz w:val="26"/>
          <w:szCs w:val="26"/>
        </w:rPr>
        <w:t>, дополнительное волнение, чаще отвлекается, пытаясь наблюдать за их реакцией и давать ответы в соответствии с ней или показывает другую крайнюю степень реакции, если не считает законных представителей своим авторитетом, в этом случае становится проблемати</w:t>
      </w:r>
      <w:r>
        <w:rPr>
          <w:rFonts w:cs="Times New Roman"/>
          <w:color w:val="000000"/>
          <w:sz w:val="26"/>
          <w:szCs w:val="26"/>
        </w:rPr>
        <w:t xml:space="preserve">чно даже установить контакт с несовершеннолетним, не то, что добиться от него правдивых показаний. Однако не стоит исключать и давления со стороны правоохранительных органов на неокрепшую психику несовершеннолетнего, в таких случаях законные представители </w:t>
      </w:r>
      <w:r>
        <w:rPr>
          <w:rFonts w:cs="Times New Roman"/>
          <w:color w:val="000000"/>
          <w:sz w:val="26"/>
          <w:szCs w:val="26"/>
        </w:rPr>
        <w:t xml:space="preserve">являются одним из рубежей защиты прав подростка, особенно в свете закрепленного в ч.3 ст.425 ограничения прав подростков от 16 до 18 лет. Я считаю, что участие законных представителей возможно исключить только при идеальном взаимодействии данной категории </w:t>
      </w:r>
      <w:r>
        <w:rPr>
          <w:rFonts w:cs="Times New Roman"/>
          <w:color w:val="000000"/>
          <w:sz w:val="26"/>
          <w:szCs w:val="26"/>
        </w:rPr>
        <w:t xml:space="preserve">лиц и защитника несовершеннолетнего, при этом защитник должен быть всецело на стороне несовершеннолетнего и не считать дело в отношении несовершеннолетнего ненужным довеском, который необходимо побыстрее закончить, постаравшись убедить «неразумное дитя» в </w:t>
      </w:r>
      <w:r>
        <w:rPr>
          <w:rFonts w:cs="Times New Roman"/>
          <w:color w:val="000000"/>
          <w:sz w:val="26"/>
          <w:szCs w:val="26"/>
        </w:rPr>
        <w:t xml:space="preserve">его асоциальности и никчемности, а главное в том, чтобы он это поскорее признал.   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</w:p>
    <w:p w:rsidR="00000000" w:rsidRDefault="00F71744">
      <w:pPr>
        <w:pStyle w:val="2"/>
        <w:jc w:val="center"/>
        <w:rPr>
          <w:sz w:val="26"/>
          <w:szCs w:val="26"/>
        </w:rPr>
      </w:pPr>
      <w:bookmarkStart w:id="33" w:name="__RefHeading__58_1030595168"/>
      <w:bookmarkStart w:id="34" w:name="__RefHeading__3278_1171958822"/>
      <w:bookmarkStart w:id="35" w:name="__RefHeading__829_1171958822"/>
      <w:bookmarkStart w:id="36" w:name="__RefHeading__3227_1070253526"/>
      <w:bookmarkEnd w:id="33"/>
      <w:bookmarkEnd w:id="34"/>
      <w:bookmarkEnd w:id="35"/>
      <w:bookmarkEnd w:id="36"/>
      <w:r>
        <w:rPr>
          <w:rFonts w:ascii="Times New Roman" w:hAnsi="Times New Roman" w:cs="Times New Roman"/>
          <w:i w:val="0"/>
          <w:iCs w:val="0"/>
          <w:sz w:val="26"/>
          <w:szCs w:val="26"/>
        </w:rPr>
        <w:t>5.Заключение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Допрос несовершеннолетнего подозреваемого (обвиняемого) одно из самых часто проводимых следственных действий при расследовании уголовных дел в отношении нес</w:t>
      </w:r>
      <w:r>
        <w:rPr>
          <w:sz w:val="26"/>
          <w:szCs w:val="26"/>
        </w:rPr>
        <w:t xml:space="preserve">овершеннолетних. 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особым статусом несовершеннолетнего в международном праве и национальном российском праве отличиями от общего порядка наделяется и допрос такого субъекта в качестве подозреваемого. Российское уголовно-процессуальное зако</w:t>
      </w:r>
      <w:r>
        <w:rPr>
          <w:sz w:val="26"/>
          <w:szCs w:val="26"/>
        </w:rPr>
        <w:t>нодательство закрепляет вдвое меньшую длительность допроса несовершеннолетнего в отличие от взрослого лица и гарантирует соблюдение и защиту их прав путем введения обязательным участником допроса не только защитника, но и законных представителей, а некотор</w:t>
      </w:r>
      <w:r>
        <w:rPr>
          <w:sz w:val="26"/>
          <w:szCs w:val="26"/>
        </w:rPr>
        <w:t>ых случаях ещё и педагога или психолога. Однако обилие возможных участников несет в себе и некие проблемы как процессуального, так и психологического характера.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Тактика допроса несовершеннолетнего подозреваемого (обвиняемого) вырабатывалась следователями </w:t>
      </w:r>
      <w:r>
        <w:rPr>
          <w:sz w:val="26"/>
          <w:szCs w:val="26"/>
        </w:rPr>
        <w:t>с применением психологических приемов, учитывающих психическое развитие несовершеннолетних.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Несовершеннолетний по сути своей лицо, которым в силу отсутствия  него должного опыта, определенного умственного, волевого, эмоционального, уровня  легко управл</w:t>
      </w:r>
      <w:r>
        <w:rPr>
          <w:sz w:val="26"/>
          <w:szCs w:val="26"/>
        </w:rPr>
        <w:t xml:space="preserve">ять, которому нетрудно что-либо внушить, который чутко следит за «модой» на те или иные действия и наиболее зависит от мнения окружающих, в особенности сверстников. 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Данные отличия несовершеннолетних от взрослых не говорят сами по себе о изначальной асоци</w:t>
      </w:r>
      <w:r>
        <w:rPr>
          <w:sz w:val="26"/>
          <w:szCs w:val="26"/>
        </w:rPr>
        <w:t>альной и противоправной направленности их поведения. Из вышеперечисленного особенно хорошо видно, что все зависит от того, кто дает  направление несовершеннолетнему в ту или иную сторону. Детская преступность самое восприимчивая к влиянию и хорошему, и пло</w:t>
      </w:r>
      <w:r>
        <w:rPr>
          <w:sz w:val="26"/>
          <w:szCs w:val="26"/>
        </w:rPr>
        <w:t>хому часть преступности. Поэтому, я считаю, что необходимо особое внимание уделять предупреждению детской преступности. Причин ее появления, конечно же, можно найти довольно много от социально-экономических до попытки самоутвердиться в глазах ровесников. О</w:t>
      </w:r>
      <w:r>
        <w:rPr>
          <w:sz w:val="26"/>
          <w:szCs w:val="26"/>
        </w:rPr>
        <w:t xml:space="preserve">днако я не буду оригинальна в своем убеждении в том, что главное что взрослые должны давать детям — это внимание. При этом не стоит переходить грань от защиты и заботы о несовершеннолетнем к тотальному контролю его жизни и подстраиванию ее под свои идеалы </w:t>
      </w:r>
      <w:r>
        <w:rPr>
          <w:sz w:val="26"/>
          <w:szCs w:val="26"/>
        </w:rPr>
        <w:t xml:space="preserve">и ценности, которые зачастую даются ребенку с неимоверным усилием. Необходимо прислушиваться к ребенку и стараться понять, что ему интересно, что сможет заменить в его поле зрения растущую информационную борьбу  в СМИ, направленную на взрослых, но больнее </w:t>
      </w:r>
      <w:r>
        <w:rPr>
          <w:sz w:val="26"/>
          <w:szCs w:val="26"/>
        </w:rPr>
        <w:t>всего задевающую именно детей, или отрицательное влияние взрослых.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Детей и подростков необходимо просто увлечь множеством полезных и интересных занятий, которые не станут для него скучными и не будут ему в тягость. Для этого необходимы взрослые люди, цел</w:t>
      </w:r>
      <w:r>
        <w:rPr>
          <w:sz w:val="26"/>
          <w:szCs w:val="26"/>
        </w:rPr>
        <w:t>ь которых не использование особого положения детей в своих целях, а их развитие и интересы.</w:t>
      </w:r>
    </w:p>
    <w:p w:rsidR="00000000" w:rsidRDefault="00F71744">
      <w:pPr>
        <w:pStyle w:val="a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Однако государство никогда не справится с проблемами, возникающими  у детей, не освободив их родителей от гонки за «выживание». Поэтому необходимо влиять на все те</w:t>
      </w:r>
      <w:r>
        <w:rPr>
          <w:sz w:val="26"/>
          <w:szCs w:val="26"/>
        </w:rPr>
        <w:t xml:space="preserve"> «взрослые» факторы возникновения преступности несовершеннолетних, как то взаимосвязанные политика, экономика и социальная сфера, при этом не следует перекладывать всю ответственность на эти факторы, так как главное  - это все таки люди, и от того, сколько</w:t>
      </w:r>
      <w:r>
        <w:rPr>
          <w:sz w:val="26"/>
          <w:szCs w:val="26"/>
        </w:rPr>
        <w:t xml:space="preserve"> найдется среди «взрослых» тех, кто сможет собрать из находящихся вокруг несовершеннолетних «команду», а не «банду», тоже зависит как будет выглядеть преступность несовершеннолетних в будущем. </w:t>
      </w:r>
      <w:r>
        <w:rPr>
          <w:sz w:val="26"/>
          <w:szCs w:val="26"/>
        </w:rPr>
        <w:tab/>
        <w:t xml:space="preserve"> </w:t>
      </w: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a1"/>
        <w:rPr>
          <w:sz w:val="26"/>
          <w:szCs w:val="26"/>
        </w:rPr>
      </w:pPr>
    </w:p>
    <w:p w:rsidR="00000000" w:rsidRDefault="00F7174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7" w:name="__RefHeading__60_1030595168"/>
      <w:bookmarkStart w:id="38" w:name="__RefHeading__3280_1171958822"/>
      <w:bookmarkStart w:id="39" w:name="__RefHeading__831_1171958822"/>
      <w:bookmarkStart w:id="40" w:name="__RefHeading__3221_1070253526"/>
      <w:bookmarkEnd w:id="37"/>
      <w:bookmarkEnd w:id="38"/>
      <w:bookmarkEnd w:id="39"/>
      <w:bookmarkEnd w:id="40"/>
      <w:r>
        <w:rPr>
          <w:rFonts w:ascii="Times New Roman" w:hAnsi="Times New Roman" w:cs="Times New Roman"/>
          <w:sz w:val="26"/>
          <w:szCs w:val="26"/>
        </w:rPr>
        <w:t>6.Список литературы</w:t>
      </w:r>
    </w:p>
    <w:p w:rsidR="00000000" w:rsidRDefault="00F71744">
      <w:pPr>
        <w:pStyle w:val="a1"/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Нормативно-правовые акты:</w:t>
      </w:r>
    </w:p>
    <w:p w:rsidR="00000000" w:rsidRDefault="00F71744">
      <w:pPr>
        <w:pStyle w:val="af0"/>
        <w:numPr>
          <w:ilvl w:val="0"/>
          <w:numId w:val="10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>Конвен</w:t>
      </w:r>
      <w:r>
        <w:rPr>
          <w:rStyle w:val="a7"/>
          <w:rFonts w:cs="Times New Roman"/>
          <w:sz w:val="26"/>
          <w:szCs w:val="26"/>
        </w:rPr>
        <w:t>ция ООН о правах ребенка от 1989г.</w:t>
      </w:r>
    </w:p>
    <w:p w:rsidR="00000000" w:rsidRDefault="00F71744">
      <w:pPr>
        <w:pStyle w:val="af0"/>
        <w:numPr>
          <w:ilvl w:val="0"/>
          <w:numId w:val="10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>Правила ООН по защите несовершеннолетних, лишенных свободы от 1990г.</w:t>
      </w:r>
    </w:p>
    <w:p w:rsidR="00000000" w:rsidRDefault="00F71744">
      <w:pPr>
        <w:pStyle w:val="af0"/>
        <w:numPr>
          <w:ilvl w:val="0"/>
          <w:numId w:val="10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>Конституция Российской Федерации от 12 декабря 1993г.// Российская газета. 25 декабря 1993г.</w:t>
      </w:r>
    </w:p>
    <w:p w:rsidR="00000000" w:rsidRDefault="00F71744">
      <w:pPr>
        <w:pStyle w:val="af0"/>
        <w:numPr>
          <w:ilvl w:val="0"/>
          <w:numId w:val="10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>Семейный кодекс Российской Федерации от 29 декабря 1995г. №</w:t>
      </w:r>
      <w:r>
        <w:rPr>
          <w:rStyle w:val="a7"/>
          <w:rFonts w:cs="Times New Roman"/>
          <w:sz w:val="26"/>
          <w:szCs w:val="26"/>
        </w:rPr>
        <w:t>223-ФЗ// Российская газета. 27 января 1996г.</w:t>
      </w:r>
    </w:p>
    <w:p w:rsidR="00000000" w:rsidRDefault="00F71744">
      <w:pPr>
        <w:pStyle w:val="af0"/>
        <w:numPr>
          <w:ilvl w:val="0"/>
          <w:numId w:val="10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>Уголовный кодекс Российской Федерации от 13 июня 199г. №63-ФЗ// Российская газета. 18,19,20,25 июня 1995г.</w:t>
      </w:r>
    </w:p>
    <w:p w:rsidR="00000000" w:rsidRDefault="00F71744">
      <w:pPr>
        <w:pStyle w:val="af0"/>
        <w:numPr>
          <w:ilvl w:val="0"/>
          <w:numId w:val="10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>Уголовно-процессуальный кодекс Российской Федерации от 18 декабря 2001г. №174-ФЗ// Российская газета. 22</w:t>
      </w:r>
      <w:r>
        <w:rPr>
          <w:rStyle w:val="a7"/>
          <w:rFonts w:cs="Times New Roman"/>
          <w:sz w:val="26"/>
          <w:szCs w:val="26"/>
        </w:rPr>
        <w:t xml:space="preserve"> декабря 2001г.</w:t>
      </w:r>
    </w:p>
    <w:p w:rsidR="00000000" w:rsidRDefault="00F71744">
      <w:pPr>
        <w:pStyle w:val="af0"/>
        <w:numPr>
          <w:ilvl w:val="0"/>
          <w:numId w:val="10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 xml:space="preserve">ФЗ РФ «Об основных гарантиях прав ребенка в Российской Федерации» от 24 июля 1998г. №124-ФЗ// Российская газета. 5 августа 1998г. </w:t>
      </w:r>
    </w:p>
    <w:p w:rsidR="00000000" w:rsidRDefault="00F71744">
      <w:pPr>
        <w:pStyle w:val="af0"/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ab/>
      </w:r>
      <w:r>
        <w:rPr>
          <w:rStyle w:val="a7"/>
          <w:rFonts w:cs="Times New Roman"/>
          <w:sz w:val="26"/>
          <w:szCs w:val="26"/>
        </w:rPr>
        <w:tab/>
      </w:r>
      <w:r>
        <w:rPr>
          <w:rStyle w:val="a7"/>
          <w:rFonts w:cs="Times New Roman"/>
          <w:b/>
          <w:bCs/>
          <w:sz w:val="26"/>
          <w:szCs w:val="26"/>
        </w:rPr>
        <w:t>Научная и учебная литература:</w:t>
      </w:r>
      <w:r>
        <w:rPr>
          <w:rStyle w:val="a7"/>
          <w:rFonts w:cs="Times New Roman"/>
          <w:sz w:val="26"/>
          <w:szCs w:val="26"/>
        </w:rPr>
        <w:tab/>
      </w:r>
    </w:p>
    <w:p w:rsidR="00000000" w:rsidRDefault="00F71744">
      <w:pPr>
        <w:pStyle w:val="af0"/>
        <w:numPr>
          <w:ilvl w:val="0"/>
          <w:numId w:val="9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>Лифанова М.В. Особенности допроса несовершеннолетнего подозреваемого (обвиня</w:t>
      </w:r>
      <w:r>
        <w:rPr>
          <w:rStyle w:val="a7"/>
          <w:rFonts w:cs="Times New Roman"/>
          <w:sz w:val="26"/>
          <w:szCs w:val="26"/>
        </w:rPr>
        <w:t xml:space="preserve">емого)// Вопросы ювенальной юстиции — 2009г. - №3(23) </w:t>
      </w:r>
    </w:p>
    <w:p w:rsidR="00000000" w:rsidRDefault="00F71744">
      <w:pPr>
        <w:pStyle w:val="af0"/>
        <w:numPr>
          <w:ilvl w:val="0"/>
          <w:numId w:val="9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>Мамайчук И.И. Экспертиза личности в судебно-следственной практике — Спб., 2002г., с.248</w:t>
      </w:r>
    </w:p>
    <w:p w:rsidR="00000000" w:rsidRDefault="00F71744">
      <w:pPr>
        <w:pStyle w:val="af0"/>
        <w:numPr>
          <w:ilvl w:val="0"/>
          <w:numId w:val="9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>Попов А.Н. Правоведение. Производство по делам о преступлениях несовершеннолетних — Красноярск, 2004г., с.44-45</w:t>
      </w:r>
    </w:p>
    <w:p w:rsidR="00000000" w:rsidRDefault="00F71744">
      <w:pPr>
        <w:pStyle w:val="af0"/>
        <w:numPr>
          <w:ilvl w:val="0"/>
          <w:numId w:val="9"/>
        </w:numPr>
        <w:spacing w:line="360" w:lineRule="auto"/>
        <w:jc w:val="both"/>
        <w:rPr>
          <w:rStyle w:val="a7"/>
          <w:rFonts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>Т</w:t>
      </w:r>
      <w:r>
        <w:rPr>
          <w:rStyle w:val="a7"/>
          <w:rFonts w:cs="Times New Roman"/>
          <w:sz w:val="26"/>
          <w:szCs w:val="26"/>
        </w:rPr>
        <w:t>етюев С.В. Случаи участия педагога и психолога в допросе несовершеннолетних правонарушителей по УПК РФ// Ученые записки: сборник научных трудов юридического факультета Оренбургского государственного университета — Оренбург. 2007г. - вып.5 — с.255-256</w:t>
      </w:r>
    </w:p>
    <w:p w:rsidR="00000000" w:rsidRDefault="00F71744">
      <w:pPr>
        <w:pStyle w:val="af0"/>
        <w:spacing w:line="360" w:lineRule="auto"/>
        <w:jc w:val="both"/>
        <w:rPr>
          <w:rStyle w:val="a7"/>
          <w:rFonts w:eastAsia="Times New Roman" w:cs="Times New Roman"/>
          <w:sz w:val="26"/>
          <w:szCs w:val="26"/>
        </w:rPr>
      </w:pPr>
      <w:r>
        <w:rPr>
          <w:rStyle w:val="a7"/>
          <w:rFonts w:cs="Times New Roman"/>
          <w:sz w:val="26"/>
          <w:szCs w:val="26"/>
        </w:rPr>
        <w:tab/>
      </w:r>
      <w:r>
        <w:rPr>
          <w:rStyle w:val="a7"/>
          <w:rFonts w:cs="Times New Roman"/>
          <w:sz w:val="26"/>
          <w:szCs w:val="26"/>
        </w:rPr>
        <w:tab/>
      </w:r>
      <w:r>
        <w:rPr>
          <w:rStyle w:val="a7"/>
          <w:rFonts w:cs="Times New Roman"/>
          <w:b/>
          <w:bCs/>
          <w:sz w:val="26"/>
          <w:szCs w:val="26"/>
        </w:rPr>
        <w:t>Спр</w:t>
      </w:r>
      <w:r>
        <w:rPr>
          <w:rStyle w:val="a7"/>
          <w:rFonts w:cs="Times New Roman"/>
          <w:b/>
          <w:bCs/>
          <w:sz w:val="26"/>
          <w:szCs w:val="26"/>
        </w:rPr>
        <w:t>авочная литература:</w:t>
      </w:r>
    </w:p>
    <w:p w:rsidR="00000000" w:rsidRDefault="00F71744">
      <w:pPr>
        <w:pStyle w:val="ListParagraph"/>
        <w:numPr>
          <w:ilvl w:val="0"/>
          <w:numId w:val="11"/>
        </w:numPr>
        <w:spacing w:before="28" w:after="100" w:line="360" w:lineRule="auto"/>
        <w:jc w:val="both"/>
        <w:rPr>
          <w:rStyle w:val="a7"/>
          <w:rFonts w:eastAsia="Times New Roman" w:cs="Times New Roman"/>
          <w:b/>
          <w:bCs/>
          <w:sz w:val="26"/>
          <w:szCs w:val="26"/>
        </w:rPr>
      </w:pPr>
      <w:bookmarkStart w:id="41" w:name="__RefHeading__4039_1070253526"/>
      <w:bookmarkEnd w:id="41"/>
      <w:r>
        <w:rPr>
          <w:rStyle w:val="a7"/>
          <w:rFonts w:eastAsia="Times New Roman" w:cs="Times New Roman"/>
          <w:sz w:val="26"/>
          <w:szCs w:val="26"/>
        </w:rPr>
        <w:t xml:space="preserve">Ожегов С.И., Шведова Н.Ю. Толковый словарь русского языка — 1992г. </w:t>
      </w:r>
    </w:p>
    <w:p w:rsidR="00000000" w:rsidRDefault="00F71744">
      <w:pPr>
        <w:pStyle w:val="ListParagraph"/>
        <w:spacing w:before="28" w:after="100" w:line="360" w:lineRule="auto"/>
        <w:jc w:val="both"/>
      </w:pPr>
      <w:bookmarkStart w:id="42" w:name="__RefHeading__4041_1070253526"/>
      <w:bookmarkEnd w:id="42"/>
      <w:r>
        <w:rPr>
          <w:rStyle w:val="a7"/>
          <w:rFonts w:eastAsia="Times New Roman" w:cs="Times New Roman"/>
          <w:b/>
          <w:bCs/>
          <w:sz w:val="26"/>
          <w:szCs w:val="26"/>
        </w:rPr>
        <w:t>Интернет-сайты:</w:t>
      </w:r>
    </w:p>
    <w:bookmarkStart w:id="43" w:name="__RefHeading__4043_1070253526"/>
    <w:bookmarkEnd w:id="43"/>
    <w:p w:rsidR="00000000" w:rsidRDefault="00F71744">
      <w:pPr>
        <w:pStyle w:val="af0"/>
        <w:numPr>
          <w:ilvl w:val="0"/>
          <w:numId w:val="12"/>
        </w:numPr>
        <w:spacing w:before="28" w:after="100" w:line="360" w:lineRule="auto"/>
        <w:jc w:val="both"/>
      </w:pPr>
      <w:r>
        <w:fldChar w:fldCharType="begin"/>
      </w:r>
      <w:r>
        <w:instrText xml:space="preserve"> HYPERLINK "http://mvd.ru/Deljatelnost/statistics"</w:instrText>
      </w:r>
      <w:r>
        <w:fldChar w:fldCharType="separate"/>
      </w:r>
      <w:r>
        <w:rPr>
          <w:rStyle w:val="a7"/>
          <w:rFonts w:eastAsia="Times New Roman" w:cs="Times New Roman"/>
          <w:sz w:val="26"/>
          <w:szCs w:val="26"/>
        </w:rPr>
        <w:t>http://mvd.ru/Deljatelnost/statistics</w:t>
      </w:r>
      <w:r>
        <w:fldChar w:fldCharType="end"/>
      </w:r>
      <w:r>
        <w:rPr>
          <w:rStyle w:val="a7"/>
          <w:rFonts w:eastAsia="Times New Roman" w:cs="Times New Roman"/>
          <w:sz w:val="26"/>
          <w:szCs w:val="26"/>
        </w:rPr>
        <w:t xml:space="preserve"> </w:t>
      </w:r>
    </w:p>
    <w:bookmarkStart w:id="44" w:name="__RefHeading__4045_1070253526"/>
    <w:bookmarkEnd w:id="44"/>
    <w:p w:rsidR="00000000" w:rsidRDefault="00F71744">
      <w:pPr>
        <w:pStyle w:val="af0"/>
        <w:numPr>
          <w:ilvl w:val="0"/>
          <w:numId w:val="12"/>
        </w:numPr>
        <w:spacing w:before="28" w:after="100" w:line="360" w:lineRule="auto"/>
        <w:jc w:val="both"/>
      </w:pPr>
      <w:r>
        <w:fldChar w:fldCharType="begin"/>
      </w:r>
      <w:r>
        <w:instrText xml:space="preserve"> HYPERLINK "http://www.consultant.ru/"</w:instrText>
      </w:r>
      <w:r>
        <w:fldChar w:fldCharType="separate"/>
      </w:r>
      <w:r>
        <w:rPr>
          <w:rStyle w:val="a7"/>
          <w:rFonts w:eastAsia="Times New Roman" w:cs="Times New Roman"/>
          <w:sz w:val="26"/>
          <w:szCs w:val="26"/>
        </w:rPr>
        <w:t>http://www.consult</w:t>
      </w:r>
      <w:r>
        <w:rPr>
          <w:rStyle w:val="a7"/>
          <w:rFonts w:eastAsia="Times New Roman" w:cs="Times New Roman"/>
          <w:sz w:val="26"/>
          <w:szCs w:val="26"/>
        </w:rPr>
        <w:t>ant.ru/</w:t>
      </w:r>
      <w:r>
        <w:fldChar w:fldCharType="end"/>
      </w:r>
      <w:r>
        <w:rPr>
          <w:rStyle w:val="a7"/>
          <w:rFonts w:eastAsia="Times New Roman" w:cs="Times New Roman"/>
          <w:sz w:val="26"/>
          <w:szCs w:val="26"/>
        </w:rPr>
        <w:t xml:space="preserve"> </w:t>
      </w:r>
    </w:p>
    <w:bookmarkStart w:id="45" w:name="__RefHeading__4047_1070253526"/>
    <w:bookmarkEnd w:id="45"/>
    <w:p w:rsidR="00000000" w:rsidRDefault="00F71744">
      <w:pPr>
        <w:pStyle w:val="af0"/>
        <w:numPr>
          <w:ilvl w:val="0"/>
          <w:numId w:val="12"/>
        </w:numPr>
        <w:spacing w:before="28" w:after="100" w:line="360" w:lineRule="auto"/>
        <w:jc w:val="both"/>
      </w:pPr>
      <w:r>
        <w:fldChar w:fldCharType="begin"/>
      </w:r>
      <w:r>
        <w:instrText xml:space="preserve"> HYPERLINK "https://rospravosudie.com/"</w:instrText>
      </w:r>
      <w:r>
        <w:fldChar w:fldCharType="separate"/>
      </w:r>
      <w:r>
        <w:rPr>
          <w:rStyle w:val="a7"/>
          <w:rFonts w:eastAsia="Times New Roman" w:cs="Times New Roman"/>
          <w:sz w:val="26"/>
          <w:szCs w:val="26"/>
        </w:rPr>
        <w:t>https://rospravosudie.com</w:t>
      </w:r>
      <w:r>
        <w:fldChar w:fldCharType="end"/>
      </w:r>
      <w:r>
        <w:rPr>
          <w:rStyle w:val="a7"/>
          <w:rFonts w:eastAsia="Times New Roman" w:cs="Times New Roman"/>
          <w:sz w:val="26"/>
          <w:szCs w:val="26"/>
        </w:rPr>
        <w:t xml:space="preserve"> </w:t>
      </w:r>
    </w:p>
    <w:bookmarkStart w:id="46" w:name="__RefHeading__4049_1070253526"/>
    <w:bookmarkEnd w:id="46"/>
    <w:p w:rsidR="00000000" w:rsidRDefault="00F71744">
      <w:pPr>
        <w:pStyle w:val="af0"/>
        <w:numPr>
          <w:ilvl w:val="0"/>
          <w:numId w:val="12"/>
        </w:numPr>
        <w:spacing w:before="28" w:after="100" w:line="360" w:lineRule="auto"/>
        <w:jc w:val="both"/>
      </w:pPr>
      <w:r>
        <w:fldChar w:fldCharType="begin"/>
      </w:r>
      <w:r>
        <w:instrText xml:space="preserve"> HYPERLINK "http://www.juristlib.ru/"</w:instrText>
      </w:r>
      <w:r>
        <w:fldChar w:fldCharType="separate"/>
      </w:r>
      <w:r>
        <w:rPr>
          <w:rStyle w:val="a7"/>
          <w:rFonts w:eastAsia="Times New Roman" w:cs="Times New Roman"/>
          <w:sz w:val="26"/>
          <w:szCs w:val="26"/>
        </w:rPr>
        <w:t>http://www.juristlib.ru/</w:t>
      </w:r>
      <w:r>
        <w:fldChar w:fldCharType="end"/>
      </w:r>
      <w:r>
        <w:rPr>
          <w:rStyle w:val="a7"/>
          <w:rFonts w:eastAsia="Times New Roman" w:cs="Times New Roman"/>
          <w:sz w:val="26"/>
          <w:szCs w:val="26"/>
        </w:rPr>
        <w:t xml:space="preserve"> </w:t>
      </w:r>
    </w:p>
    <w:bookmarkStart w:id="47" w:name="__RefHeading__4051_1070253526"/>
    <w:bookmarkEnd w:id="47"/>
    <w:p w:rsidR="00000000" w:rsidRDefault="00F71744">
      <w:pPr>
        <w:pStyle w:val="af0"/>
        <w:numPr>
          <w:ilvl w:val="0"/>
          <w:numId w:val="12"/>
        </w:numPr>
        <w:spacing w:before="28" w:after="100" w:line="360" w:lineRule="auto"/>
        <w:jc w:val="both"/>
      </w:pPr>
      <w:r>
        <w:fldChar w:fldCharType="begin"/>
      </w:r>
      <w:r>
        <w:instrText xml:space="preserve"> HYPERLINK "http://cyberleninka.ru/"</w:instrText>
      </w:r>
      <w:r>
        <w:fldChar w:fldCharType="separate"/>
      </w:r>
      <w:r>
        <w:rPr>
          <w:rStyle w:val="a7"/>
          <w:rFonts w:eastAsia="Times New Roman" w:cs="Times New Roman"/>
          <w:sz w:val="26"/>
          <w:szCs w:val="26"/>
        </w:rPr>
        <w:t>http://cyberleninka.ru/</w:t>
      </w:r>
      <w:r>
        <w:fldChar w:fldCharType="end"/>
      </w:r>
      <w:r>
        <w:rPr>
          <w:rStyle w:val="a7"/>
          <w:rFonts w:eastAsia="Times New Roman" w:cs="Times New Roman"/>
          <w:sz w:val="26"/>
          <w:szCs w:val="26"/>
        </w:rPr>
        <w:t xml:space="preserve"> </w:t>
      </w:r>
    </w:p>
    <w:bookmarkStart w:id="48" w:name="__RefHeading__4053_1070253526"/>
    <w:bookmarkEnd w:id="48"/>
    <w:p w:rsidR="00000000" w:rsidRDefault="00F71744">
      <w:pPr>
        <w:pStyle w:val="af0"/>
        <w:numPr>
          <w:ilvl w:val="0"/>
          <w:numId w:val="12"/>
        </w:numPr>
        <w:spacing w:before="28" w:after="100" w:line="360" w:lineRule="auto"/>
        <w:jc w:val="both"/>
      </w:pPr>
      <w:r>
        <w:fldChar w:fldCharType="begin"/>
      </w:r>
      <w:r>
        <w:instrText xml:space="preserve"> HYPERLINK "http://juvenjust.org/"</w:instrText>
      </w:r>
      <w:r>
        <w:fldChar w:fldCharType="separate"/>
      </w:r>
      <w:r>
        <w:rPr>
          <w:rStyle w:val="a7"/>
          <w:rFonts w:eastAsia="Times New Roman" w:cs="Times New Roman"/>
          <w:sz w:val="26"/>
          <w:szCs w:val="26"/>
        </w:rPr>
        <w:t>http://</w:t>
      </w:r>
      <w:r>
        <w:rPr>
          <w:rStyle w:val="a7"/>
          <w:rFonts w:eastAsia="Times New Roman" w:cs="Times New Roman"/>
          <w:sz w:val="26"/>
          <w:szCs w:val="26"/>
        </w:rPr>
        <w:t>juvenjust.org/</w:t>
      </w:r>
      <w:r>
        <w:fldChar w:fldCharType="end"/>
      </w:r>
    </w:p>
    <w:bookmarkStart w:id="49" w:name="__RefHeading__4055_1070253526"/>
    <w:bookmarkEnd w:id="49"/>
    <w:p w:rsidR="00000000" w:rsidRDefault="00F71744">
      <w:pPr>
        <w:pStyle w:val="af0"/>
        <w:numPr>
          <w:ilvl w:val="0"/>
          <w:numId w:val="12"/>
        </w:numPr>
        <w:spacing w:before="28" w:after="100" w:line="360" w:lineRule="auto"/>
        <w:jc w:val="both"/>
      </w:pPr>
      <w:r>
        <w:fldChar w:fldCharType="begin"/>
      </w:r>
      <w:r>
        <w:instrText xml:space="preserve"> HYPERLINK "http://www.gazeta.ru/"</w:instrText>
      </w:r>
      <w:r>
        <w:fldChar w:fldCharType="separate"/>
      </w:r>
      <w:r>
        <w:rPr>
          <w:rStyle w:val="a7"/>
          <w:rFonts w:eastAsia="Times New Roman" w:cs="Times New Roman"/>
          <w:sz w:val="26"/>
          <w:szCs w:val="26"/>
        </w:rPr>
        <w:t>http://www.gazeta.ru</w:t>
      </w:r>
      <w:r>
        <w:fldChar w:fldCharType="end"/>
      </w:r>
    </w:p>
    <w:bookmarkStart w:id="50" w:name="__RefHeading__4057_1070253526"/>
    <w:bookmarkEnd w:id="50"/>
    <w:p w:rsidR="00F71744" w:rsidRDefault="00F71744">
      <w:pPr>
        <w:pStyle w:val="af0"/>
        <w:numPr>
          <w:ilvl w:val="0"/>
          <w:numId w:val="12"/>
        </w:numPr>
        <w:spacing w:before="28" w:after="100" w:line="360" w:lineRule="auto"/>
        <w:jc w:val="both"/>
      </w:pPr>
      <w:r>
        <w:fldChar w:fldCharType="begin"/>
      </w:r>
      <w:r>
        <w:instrText xml:space="preserve"> HYPERLINK "http://itar-tass.com/"</w:instrText>
      </w:r>
      <w:r>
        <w:fldChar w:fldCharType="separate"/>
      </w:r>
      <w:r>
        <w:rPr>
          <w:rStyle w:val="a7"/>
          <w:rFonts w:eastAsia="Times New Roman" w:cs="Times New Roman"/>
          <w:sz w:val="26"/>
          <w:szCs w:val="26"/>
        </w:rPr>
        <w:t>http://itar-tass.com</w:t>
      </w:r>
      <w:r>
        <w:fldChar w:fldCharType="end"/>
      </w:r>
      <w:r>
        <w:rPr>
          <w:rStyle w:val="a7"/>
          <w:rFonts w:eastAsia="Times New Roman" w:cs="Times New Roman"/>
          <w:sz w:val="26"/>
          <w:szCs w:val="26"/>
        </w:rPr>
        <w:t xml:space="preserve"> </w:t>
      </w:r>
    </w:p>
    <w:sectPr w:rsidR="00F717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50" w:bottom="1976" w:left="1701" w:header="720" w:footer="141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44" w:rsidRDefault="00F71744">
      <w:r>
        <w:separator/>
      </w:r>
    </w:p>
  </w:endnote>
  <w:endnote w:type="continuationSeparator" w:id="0">
    <w:p w:rsidR="00F71744" w:rsidRDefault="00F7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44" w:rsidRDefault="00F71744">
      <w:r>
        <w:separator/>
      </w:r>
    </w:p>
  </w:footnote>
  <w:footnote w:type="continuationSeparator" w:id="0">
    <w:p w:rsidR="00F71744" w:rsidRDefault="00F71744">
      <w:r>
        <w:continuationSeparator/>
      </w:r>
    </w:p>
  </w:footnote>
  <w:footnote w:id="1">
    <w:p w:rsidR="00000000" w:rsidRDefault="00F71744">
      <w:pPr>
        <w:pStyle w:val="af0"/>
      </w:pPr>
      <w:r>
        <w:rPr>
          <w:rStyle w:val="a7"/>
        </w:rPr>
        <w:footnoteRef/>
      </w:r>
      <w:r>
        <w:rPr>
          <w:rStyle w:val="a7"/>
          <w:rFonts w:cs="Times New Roman"/>
        </w:rPr>
        <w:tab/>
        <w:t>http://mvd.ru/Deljatelnost/statistics</w:t>
      </w:r>
    </w:p>
  </w:footnote>
  <w:footnote w:id="2">
    <w:p w:rsidR="00000000" w:rsidRDefault="00F71744">
      <w:pPr>
        <w:pStyle w:val="af0"/>
      </w:pPr>
      <w:r>
        <w:rPr>
          <w:rStyle w:val="a7"/>
        </w:rPr>
        <w:footnoteRef/>
      </w:r>
      <w:r>
        <w:rPr>
          <w:rStyle w:val="a7"/>
          <w:rFonts w:cs="Times New Roman"/>
        </w:rPr>
        <w:tab/>
        <w:t>http://itar-tass.com</w:t>
      </w:r>
    </w:p>
  </w:footnote>
  <w:footnote w:id="3">
    <w:p w:rsidR="00000000" w:rsidRDefault="00F71744">
      <w:pPr>
        <w:pStyle w:val="af0"/>
      </w:pPr>
      <w:r>
        <w:rPr>
          <w:rStyle w:val="a7"/>
        </w:rPr>
        <w:footnoteRef/>
      </w:r>
      <w:r>
        <w:rPr>
          <w:rStyle w:val="a7"/>
          <w:rFonts w:cs="Times New Roman"/>
        </w:rPr>
        <w:tab/>
        <w:t>http://www.gazeta.ru</w:t>
      </w:r>
    </w:p>
  </w:footnote>
  <w:footnote w:id="4">
    <w:p w:rsidR="00000000" w:rsidRDefault="00F71744">
      <w:pPr>
        <w:pStyle w:val="af0"/>
      </w:pPr>
      <w:r>
        <w:rPr>
          <w:rStyle w:val="a7"/>
        </w:rPr>
        <w:footnoteRef/>
      </w:r>
      <w:r>
        <w:rPr>
          <w:rStyle w:val="a7"/>
          <w:rFonts w:cs="Times New Roman"/>
        </w:rPr>
        <w:tab/>
        <w:t>Конвенция ООН о правах ребенка от</w:t>
      </w:r>
      <w:r>
        <w:rPr>
          <w:rStyle w:val="a7"/>
          <w:rFonts w:cs="Times New Roman"/>
        </w:rPr>
        <w:t xml:space="preserve"> 1989г.</w:t>
      </w:r>
    </w:p>
  </w:footnote>
  <w:footnote w:id="5">
    <w:p w:rsidR="00000000" w:rsidRDefault="00F71744">
      <w:pPr>
        <w:pStyle w:val="af0"/>
      </w:pPr>
      <w:r>
        <w:rPr>
          <w:rStyle w:val="a7"/>
        </w:rPr>
        <w:footnoteRef/>
      </w:r>
      <w:r>
        <w:rPr>
          <w:rStyle w:val="a7"/>
          <w:rFonts w:cs="Times New Roman"/>
        </w:rPr>
        <w:tab/>
        <w:t>Правила ООН по защите несовершеннолетних, лишенных свободы от 1990г.</w:t>
      </w:r>
    </w:p>
  </w:footnote>
  <w:footnote w:id="6">
    <w:p w:rsidR="00000000" w:rsidRDefault="00F71744">
      <w:pPr>
        <w:pStyle w:val="af0"/>
      </w:pPr>
      <w:r>
        <w:rPr>
          <w:rStyle w:val="a7"/>
        </w:rPr>
        <w:footnoteRef/>
      </w:r>
      <w:r>
        <w:rPr>
          <w:rStyle w:val="a7"/>
          <w:rFonts w:cs="Times New Roman"/>
        </w:rPr>
        <w:tab/>
        <w:t>Конвенция ООН о правах ребенка от 1989г.</w:t>
      </w:r>
    </w:p>
  </w:footnote>
  <w:footnote w:id="7">
    <w:p w:rsidR="00000000" w:rsidRDefault="00F71744">
      <w:pPr>
        <w:pStyle w:val="af0"/>
      </w:pPr>
      <w:r>
        <w:rPr>
          <w:rStyle w:val="a7"/>
        </w:rPr>
        <w:footnoteRef/>
      </w:r>
      <w:r>
        <w:rPr>
          <w:rStyle w:val="a7"/>
          <w:rFonts w:cs="Times New Roman"/>
        </w:rPr>
        <w:tab/>
        <w:t>Семейный кодекс Российской Федерации от 29 декабря 1995г. №223-ФЗ// Российская газета. 27 января 1996г.</w:t>
      </w:r>
    </w:p>
  </w:footnote>
  <w:footnote w:id="8">
    <w:p w:rsidR="00000000" w:rsidRDefault="00F71744">
      <w:pPr>
        <w:pStyle w:val="af0"/>
      </w:pPr>
      <w:r>
        <w:rPr>
          <w:rStyle w:val="a7"/>
        </w:rPr>
        <w:footnoteRef/>
      </w:r>
      <w:r>
        <w:tab/>
        <w:t>ФЗ РФ «Об основных гаранти</w:t>
      </w:r>
      <w:r>
        <w:t xml:space="preserve">ях прав ребенка в Российской Федерации» от 24 июля 1998г. №124-ФЗ// Российская газета. 5 августа 1998г. </w:t>
      </w:r>
    </w:p>
  </w:footnote>
  <w:footnote w:id="9">
    <w:p w:rsidR="00000000" w:rsidRDefault="00F71744">
      <w:pPr>
        <w:pStyle w:val="af0"/>
      </w:pPr>
      <w:r>
        <w:rPr>
          <w:rStyle w:val="a7"/>
        </w:rPr>
        <w:footnoteRef/>
      </w:r>
      <w:r>
        <w:tab/>
        <w:t>Уголовный кодекс Российской Федерации от 13 июня 199г. №63-ФЗ// Российская газета. 18,19,20,25 июня 1995г.</w:t>
      </w:r>
    </w:p>
  </w:footnote>
  <w:footnote w:id="10">
    <w:p w:rsidR="00000000" w:rsidRDefault="00F71744">
      <w:pPr>
        <w:pStyle w:val="af0"/>
      </w:pPr>
      <w:r>
        <w:rPr>
          <w:rStyle w:val="a7"/>
        </w:rPr>
        <w:footnoteRef/>
      </w:r>
      <w:r>
        <w:tab/>
        <w:t>Конституция Российской Федерации от 12 д</w:t>
      </w:r>
      <w:r>
        <w:t>екабря 1993г.// Российская газета. 25 декабря 1993г.</w:t>
      </w:r>
    </w:p>
  </w:footnote>
  <w:footnote w:id="11">
    <w:p w:rsidR="00000000" w:rsidRDefault="00F71744">
      <w:pPr>
        <w:pStyle w:val="af0"/>
      </w:pPr>
      <w:r>
        <w:rPr>
          <w:rStyle w:val="a7"/>
        </w:rPr>
        <w:footnoteRef/>
      </w:r>
      <w:r>
        <w:rPr>
          <w:rStyle w:val="a7"/>
          <w:rFonts w:cs="Times New Roman"/>
        </w:rPr>
        <w:tab/>
        <w:t>Уголовно-процессуальный кодекс Российской Федерации от 18 декабря 2001г. №174-ФЗ// Российская газета. 22 декабря 2001г.</w:t>
      </w:r>
    </w:p>
  </w:footnote>
  <w:footnote w:id="12">
    <w:p w:rsidR="00000000" w:rsidRDefault="00F71744">
      <w:pPr>
        <w:pStyle w:val="af0"/>
      </w:pPr>
      <w:r>
        <w:rPr>
          <w:rStyle w:val="a7"/>
        </w:rPr>
        <w:footnoteRef/>
      </w:r>
      <w:r>
        <w:tab/>
        <w:t>Лифанова М.В. Особенности допроса несовершеннолетнего подозреваемого (обвиняемо</w:t>
      </w:r>
      <w:r>
        <w:t xml:space="preserve">го)// Вопросы ювенальной юстиции — 2009г. - №3(23)  </w:t>
      </w:r>
    </w:p>
  </w:footnote>
  <w:footnote w:id="13">
    <w:p w:rsidR="00000000" w:rsidRDefault="00F71744">
      <w:pPr>
        <w:pStyle w:val="af0"/>
      </w:pPr>
      <w:r>
        <w:rPr>
          <w:rStyle w:val="a7"/>
        </w:rPr>
        <w:footnoteRef/>
      </w:r>
      <w:r>
        <w:tab/>
        <w:t>Мамайчук И.И. Экспертиза личности в судебно-следственной практике — Спб., 2002г., с.248</w:t>
      </w:r>
    </w:p>
  </w:footnote>
  <w:footnote w:id="14">
    <w:p w:rsidR="00000000" w:rsidRDefault="00F71744">
      <w:pPr>
        <w:pStyle w:val="af0"/>
      </w:pPr>
      <w:r>
        <w:rPr>
          <w:rStyle w:val="a7"/>
        </w:rPr>
        <w:footnoteRef/>
      </w:r>
      <w:r>
        <w:tab/>
        <w:t>Попов А.Н. Правоведение. Производство по делам о преступлениях несовершеннолетних — Красноярск, 2004г., с.44-45</w:t>
      </w:r>
    </w:p>
  </w:footnote>
  <w:footnote w:id="15">
    <w:p w:rsidR="00000000" w:rsidRDefault="00F71744">
      <w:pPr>
        <w:pStyle w:val="af0"/>
      </w:pPr>
      <w:r>
        <w:rPr>
          <w:rStyle w:val="a7"/>
        </w:rPr>
        <w:footnoteRef/>
      </w:r>
      <w:r>
        <w:tab/>
        <w:t>Тетюев С.В. Случаи участия педагога и психолога в допросе несовершеннолетних правонарушителей по УПК РФ// Ученые записки: сборник научных трудов юридического факультета Оренбургского государственного университета — Оренбург. 2007г. - вып.5 — с.255-256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17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283" w:firstLine="0"/>
      </w:pPr>
    </w:lvl>
    <w:lvl w:ilvl="2">
      <w:start w:val="1"/>
      <w:numFmt w:val="lowerLetter"/>
      <w:lvlText w:val=" %3)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5A"/>
    <w:rsid w:val="0021725A"/>
    <w:rsid w:val="00F7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sz w:val="28"/>
      <w:szCs w:val="2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8z0">
    <w:name w:val="WW8Num8z0"/>
    <w:rPr>
      <w:rFonts w:cs="Times New Roman"/>
      <w:sz w:val="28"/>
      <w:szCs w:val="28"/>
    </w:rPr>
  </w:style>
  <w:style w:type="character" w:customStyle="1" w:styleId="WW8Num9z0">
    <w:name w:val="WW8Num9z0"/>
    <w:rPr>
      <w:rFonts w:cs="Times New Roman"/>
      <w:sz w:val="28"/>
      <w:szCs w:val="28"/>
    </w:rPr>
  </w:style>
  <w:style w:type="character" w:customStyle="1" w:styleId="WW8Num10z0">
    <w:name w:val="WW8Num10z0"/>
    <w:rPr>
      <w:sz w:val="28"/>
      <w:szCs w:val="28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сноски"/>
  </w:style>
  <w:style w:type="character" w:styleId="a8">
    <w:name w:val="footnote reference"/>
    <w:rPr>
      <w:vertAlign w:val="superscript"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ListLabel1">
    <w:name w:val="ListLabel 1"/>
    <w:rPr>
      <w:rFonts w:cs="Courier New"/>
    </w:rPr>
  </w:style>
  <w:style w:type="character" w:styleId="ab">
    <w:name w:val="endnote reference"/>
    <w:rPr>
      <w:vertAlign w:val="superscript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c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d">
    <w:name w:val="TOC Heading"/>
    <w:basedOn w:val="a0"/>
    <w:qFormat/>
    <w:pPr>
      <w:suppressLineNumbers/>
    </w:pPr>
    <w:rPr>
      <w:b/>
      <w:bCs/>
      <w:sz w:val="32"/>
      <w:szCs w:val="32"/>
    </w:rPr>
  </w:style>
  <w:style w:type="paragraph" w:styleId="12">
    <w:name w:val="toc 1"/>
    <w:basedOn w:val="11"/>
    <w:pPr>
      <w:numPr>
        <w:numId w:val="3"/>
      </w:numPr>
      <w:tabs>
        <w:tab w:val="right" w:leader="dot" w:pos="9922"/>
      </w:tabs>
    </w:pPr>
  </w:style>
  <w:style w:type="paragraph" w:styleId="ae">
    <w:name w:val="footer"/>
    <w:basedOn w:val="a"/>
    <w:pPr>
      <w:suppressLineNumbers/>
      <w:tabs>
        <w:tab w:val="center" w:pos="4961"/>
        <w:tab w:val="right" w:pos="9922"/>
      </w:tabs>
    </w:pPr>
  </w:style>
  <w:style w:type="paragraph" w:styleId="20">
    <w:name w:val="toc 2"/>
    <w:basedOn w:val="11"/>
    <w:pPr>
      <w:tabs>
        <w:tab w:val="right" w:leader="dot" w:pos="9922"/>
      </w:tabs>
      <w:ind w:left="283"/>
    </w:pPr>
  </w:style>
  <w:style w:type="paragraph" w:styleId="30">
    <w:name w:val="toc 3"/>
    <w:basedOn w:val="11"/>
    <w:pPr>
      <w:tabs>
        <w:tab w:val="right" w:leader="dot" w:pos="9072"/>
      </w:tabs>
      <w:ind w:left="566"/>
    </w:pPr>
  </w:style>
  <w:style w:type="paragraph" w:styleId="40">
    <w:name w:val="toc 4"/>
    <w:basedOn w:val="11"/>
    <w:pPr>
      <w:tabs>
        <w:tab w:val="right" w:leader="dot" w:pos="8789"/>
      </w:tabs>
      <w:ind w:left="849"/>
    </w:pPr>
  </w:style>
  <w:style w:type="paragraph" w:styleId="50">
    <w:name w:val="toc 5"/>
    <w:basedOn w:val="11"/>
    <w:pPr>
      <w:tabs>
        <w:tab w:val="right" w:leader="dot" w:pos="8506"/>
      </w:tabs>
      <w:ind w:left="1132"/>
    </w:pPr>
  </w:style>
  <w:style w:type="paragraph" w:styleId="60">
    <w:name w:val="toc 6"/>
    <w:basedOn w:val="11"/>
    <w:pPr>
      <w:tabs>
        <w:tab w:val="right" w:leader="dot" w:pos="8223"/>
      </w:tabs>
      <w:ind w:left="1415"/>
    </w:pPr>
  </w:style>
  <w:style w:type="paragraph" w:styleId="70">
    <w:name w:val="toc 7"/>
    <w:basedOn w:val="11"/>
    <w:pPr>
      <w:tabs>
        <w:tab w:val="right" w:leader="dot" w:pos="7940"/>
      </w:tabs>
      <w:ind w:left="1698"/>
    </w:pPr>
  </w:style>
  <w:style w:type="paragraph" w:styleId="80">
    <w:name w:val="toc 8"/>
    <w:basedOn w:val="11"/>
    <w:pPr>
      <w:tabs>
        <w:tab w:val="right" w:leader="dot" w:pos="7657"/>
      </w:tabs>
      <w:ind w:left="1981"/>
    </w:pPr>
  </w:style>
  <w:style w:type="paragraph" w:styleId="90">
    <w:name w:val="toc 9"/>
    <w:basedOn w:val="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1"/>
    <w:pPr>
      <w:tabs>
        <w:tab w:val="right" w:leader="dot" w:pos="7091"/>
      </w:tabs>
      <w:ind w:left="2547"/>
    </w:p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NormalWeb">
    <w:name w:val="Normal (Web)"/>
    <w:basedOn w:val="a"/>
    <w:pPr>
      <w:spacing w:before="28" w:after="100" w:line="100" w:lineRule="atLeast"/>
    </w:pPr>
    <w:rPr>
      <w:rFonts w:eastAsia="Times New Roman" w:cs="Times New Roman"/>
    </w:rPr>
  </w:style>
  <w:style w:type="paragraph" w:customStyle="1" w:styleId="101">
    <w:name w:val="Заголовок 10"/>
    <w:basedOn w:val="a0"/>
    <w:next w:val="a1"/>
    <w:pPr>
      <w:numPr>
        <w:numId w:val="2"/>
      </w:numPr>
    </w:pPr>
    <w:rPr>
      <w:b/>
      <w:bCs/>
      <w:sz w:val="21"/>
      <w:szCs w:val="21"/>
    </w:rPr>
  </w:style>
  <w:style w:type="paragraph" w:customStyle="1" w:styleId="ListParagraph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sz w:val="28"/>
      <w:szCs w:val="2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8z0">
    <w:name w:val="WW8Num8z0"/>
    <w:rPr>
      <w:rFonts w:cs="Times New Roman"/>
      <w:sz w:val="28"/>
      <w:szCs w:val="28"/>
    </w:rPr>
  </w:style>
  <w:style w:type="character" w:customStyle="1" w:styleId="WW8Num9z0">
    <w:name w:val="WW8Num9z0"/>
    <w:rPr>
      <w:rFonts w:cs="Times New Roman"/>
      <w:sz w:val="28"/>
      <w:szCs w:val="28"/>
    </w:rPr>
  </w:style>
  <w:style w:type="character" w:customStyle="1" w:styleId="WW8Num10z0">
    <w:name w:val="WW8Num10z0"/>
    <w:rPr>
      <w:sz w:val="28"/>
      <w:szCs w:val="28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сноски"/>
  </w:style>
  <w:style w:type="character" w:styleId="a8">
    <w:name w:val="footnote reference"/>
    <w:rPr>
      <w:vertAlign w:val="superscript"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ListLabel1">
    <w:name w:val="ListLabel 1"/>
    <w:rPr>
      <w:rFonts w:cs="Courier New"/>
    </w:rPr>
  </w:style>
  <w:style w:type="character" w:styleId="ab">
    <w:name w:val="endnote reference"/>
    <w:rPr>
      <w:vertAlign w:val="superscript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c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d">
    <w:name w:val="TOC Heading"/>
    <w:basedOn w:val="a0"/>
    <w:qFormat/>
    <w:pPr>
      <w:suppressLineNumbers/>
    </w:pPr>
    <w:rPr>
      <w:b/>
      <w:bCs/>
      <w:sz w:val="32"/>
      <w:szCs w:val="32"/>
    </w:rPr>
  </w:style>
  <w:style w:type="paragraph" w:styleId="12">
    <w:name w:val="toc 1"/>
    <w:basedOn w:val="11"/>
    <w:pPr>
      <w:numPr>
        <w:numId w:val="3"/>
      </w:numPr>
      <w:tabs>
        <w:tab w:val="right" w:leader="dot" w:pos="9922"/>
      </w:tabs>
    </w:pPr>
  </w:style>
  <w:style w:type="paragraph" w:styleId="ae">
    <w:name w:val="footer"/>
    <w:basedOn w:val="a"/>
    <w:pPr>
      <w:suppressLineNumbers/>
      <w:tabs>
        <w:tab w:val="center" w:pos="4961"/>
        <w:tab w:val="right" w:pos="9922"/>
      </w:tabs>
    </w:pPr>
  </w:style>
  <w:style w:type="paragraph" w:styleId="20">
    <w:name w:val="toc 2"/>
    <w:basedOn w:val="11"/>
    <w:pPr>
      <w:tabs>
        <w:tab w:val="right" w:leader="dot" w:pos="9922"/>
      </w:tabs>
      <w:ind w:left="283"/>
    </w:pPr>
  </w:style>
  <w:style w:type="paragraph" w:styleId="30">
    <w:name w:val="toc 3"/>
    <w:basedOn w:val="11"/>
    <w:pPr>
      <w:tabs>
        <w:tab w:val="right" w:leader="dot" w:pos="9072"/>
      </w:tabs>
      <w:ind w:left="566"/>
    </w:pPr>
  </w:style>
  <w:style w:type="paragraph" w:styleId="40">
    <w:name w:val="toc 4"/>
    <w:basedOn w:val="11"/>
    <w:pPr>
      <w:tabs>
        <w:tab w:val="right" w:leader="dot" w:pos="8789"/>
      </w:tabs>
      <w:ind w:left="849"/>
    </w:pPr>
  </w:style>
  <w:style w:type="paragraph" w:styleId="50">
    <w:name w:val="toc 5"/>
    <w:basedOn w:val="11"/>
    <w:pPr>
      <w:tabs>
        <w:tab w:val="right" w:leader="dot" w:pos="8506"/>
      </w:tabs>
      <w:ind w:left="1132"/>
    </w:pPr>
  </w:style>
  <w:style w:type="paragraph" w:styleId="60">
    <w:name w:val="toc 6"/>
    <w:basedOn w:val="11"/>
    <w:pPr>
      <w:tabs>
        <w:tab w:val="right" w:leader="dot" w:pos="8223"/>
      </w:tabs>
      <w:ind w:left="1415"/>
    </w:pPr>
  </w:style>
  <w:style w:type="paragraph" w:styleId="70">
    <w:name w:val="toc 7"/>
    <w:basedOn w:val="11"/>
    <w:pPr>
      <w:tabs>
        <w:tab w:val="right" w:leader="dot" w:pos="7940"/>
      </w:tabs>
      <w:ind w:left="1698"/>
    </w:pPr>
  </w:style>
  <w:style w:type="paragraph" w:styleId="80">
    <w:name w:val="toc 8"/>
    <w:basedOn w:val="11"/>
    <w:pPr>
      <w:tabs>
        <w:tab w:val="right" w:leader="dot" w:pos="7657"/>
      </w:tabs>
      <w:ind w:left="1981"/>
    </w:pPr>
  </w:style>
  <w:style w:type="paragraph" w:styleId="90">
    <w:name w:val="toc 9"/>
    <w:basedOn w:val="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1"/>
    <w:pPr>
      <w:tabs>
        <w:tab w:val="right" w:leader="dot" w:pos="7091"/>
      </w:tabs>
      <w:ind w:left="2547"/>
    </w:p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NormalWeb">
    <w:name w:val="Normal (Web)"/>
    <w:basedOn w:val="a"/>
    <w:pPr>
      <w:spacing w:before="28" w:after="100" w:line="100" w:lineRule="atLeast"/>
    </w:pPr>
    <w:rPr>
      <w:rFonts w:eastAsia="Times New Roman" w:cs="Times New Roman"/>
    </w:rPr>
  </w:style>
  <w:style w:type="paragraph" w:customStyle="1" w:styleId="101">
    <w:name w:val="Заголовок 10"/>
    <w:basedOn w:val="a0"/>
    <w:next w:val="a1"/>
    <w:pPr>
      <w:numPr>
        <w:numId w:val="2"/>
      </w:numPr>
    </w:pPr>
    <w:rPr>
      <w:b/>
      <w:bCs/>
      <w:sz w:val="21"/>
      <w:szCs w:val="21"/>
    </w:r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4834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Астапова</dc:creator>
  <cp:lastModifiedBy>Dmitry V Stolpovskih</cp:lastModifiedBy>
  <cp:revision>2</cp:revision>
  <cp:lastPrinted>1601-01-01T00:00:00Z</cp:lastPrinted>
  <dcterms:created xsi:type="dcterms:W3CDTF">2021-04-01T05:30:00Z</dcterms:created>
  <dcterms:modified xsi:type="dcterms:W3CDTF">2021-04-01T05:30:00Z</dcterms:modified>
</cp:coreProperties>
</file>